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rPr>
        <w:t>杭州师范大学</w:t>
      </w:r>
      <w:r>
        <w:rPr>
          <w:rFonts w:hint="eastAsia" w:ascii="方正小标宋简体" w:hAnsi="方正小标宋简体" w:eastAsia="方正小标宋简体" w:cs="方正小标宋简体"/>
          <w:color w:val="000000"/>
          <w:kern w:val="0"/>
          <w:sz w:val="36"/>
          <w:szCs w:val="36"/>
          <w:lang w:val="en-US" w:eastAsia="zh-CN"/>
        </w:rPr>
        <w:t>药学院省政府</w:t>
      </w:r>
      <w:r>
        <w:rPr>
          <w:rFonts w:hint="eastAsia" w:ascii="方正小标宋简体" w:hAnsi="方正小标宋简体" w:eastAsia="方正小标宋简体" w:cs="方正小标宋简体"/>
          <w:color w:val="000000"/>
          <w:kern w:val="0"/>
          <w:sz w:val="36"/>
          <w:szCs w:val="36"/>
        </w:rPr>
        <w:t>奖学金</w:t>
      </w:r>
      <w:r>
        <w:rPr>
          <w:rFonts w:hint="eastAsia" w:ascii="方正小标宋简体" w:hAnsi="方正小标宋简体" w:eastAsia="方正小标宋简体" w:cs="方正小标宋简体"/>
          <w:color w:val="000000"/>
          <w:kern w:val="0"/>
          <w:sz w:val="36"/>
          <w:szCs w:val="36"/>
          <w:lang w:val="en-US" w:eastAsia="zh-CN"/>
        </w:rPr>
        <w:t>评定办法</w:t>
      </w:r>
    </w:p>
    <w:p>
      <w:pPr>
        <w:jc w:val="center"/>
        <w:rPr>
          <w:rFonts w:hint="eastAsia" w:ascii="方正小标宋简体" w:hAnsi="方正小标宋简体" w:eastAsia="方正小标宋简体" w:cs="方正小标宋简体"/>
          <w:color w:val="000000"/>
          <w:kern w:val="0"/>
          <w:sz w:val="36"/>
          <w:szCs w:val="36"/>
          <w:lang w:eastAsia="zh-CN"/>
        </w:rPr>
      </w:pPr>
      <w:r>
        <w:rPr>
          <w:rFonts w:hint="eastAsia" w:ascii="方正小标宋简体" w:hAnsi="方正小标宋简体" w:eastAsia="方正小标宋简体" w:cs="方正小标宋简体"/>
          <w:color w:val="000000"/>
          <w:kern w:val="0"/>
          <w:sz w:val="36"/>
          <w:szCs w:val="36"/>
          <w:lang w:eastAsia="zh-CN"/>
        </w:rPr>
        <w:t>（</w:t>
      </w:r>
      <w:r>
        <w:rPr>
          <w:rFonts w:hint="eastAsia" w:ascii="方正小标宋简体" w:hAnsi="方正小标宋简体" w:eastAsia="方正小标宋简体" w:cs="方正小标宋简体"/>
          <w:color w:val="000000"/>
          <w:kern w:val="0"/>
          <w:sz w:val="36"/>
          <w:szCs w:val="36"/>
          <w:lang w:val="en-US" w:eastAsia="zh-CN"/>
        </w:rPr>
        <w:t>试行</w:t>
      </w:r>
      <w:r>
        <w:rPr>
          <w:rFonts w:hint="eastAsia" w:ascii="方正小标宋简体" w:hAnsi="方正小标宋简体" w:eastAsia="方正小标宋简体" w:cs="方正小标宋简体"/>
          <w:color w:val="000000"/>
          <w:kern w:val="0"/>
          <w:sz w:val="36"/>
          <w:szCs w:val="36"/>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省政府奖学金是浙江省人民政府为激励在校学生勤奋学习、积极进取、全面发展而设立的奖学金。根据相关文件精神，结合院校实际，特制订本评定办法。</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一、奖励对象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我校纳入全国招生计划内的在籍且在校二年级及以上品学兼优的全日制本科学生。</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二、申请条件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1.具有中华人民共和国国籍；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2.热爱祖国，拥护中国共产党的领导；</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3.遵守宪法和法律，遵守学校规章制度；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4.诚实守信，道德品质优良；</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5.积极参加体育锻炼，身体素质良好；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在校期间学习成绩优秀，在创新能力、社会实践、综合素质等方面表现突出。参评学年必修课和选修课无补考课程，符合学校优秀学生二等奖学金评选条件；未达到学校优秀二等奖学金评选条件，但符合学校优秀学生三等奖学金评选条件的学生，如在其他某个方面表现突出，也可以申请省政府奖学金，但需提交相关证明材料，具体详见《杭州师范大学本科生奖学金评定办法》（杭师大学〔2022〕37 号）、《杭州师范大学本科学生资助工作管理办法》（杭师大学〔2022〕60 号）以及《杭州师范大学省政府奖学金实施细则》。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7.符合上述基本条件，且在“互联网+”、挑战杯、职规赛中获全国一等奖（或金奖）的主要成员（团队排名前 5）、二等奖（或银奖）的核心成员（团队排名前 3），可评定为省政府奖学金（不占用学院名额）。</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三、奖励额度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省政府奖学金的奖励标准为每生每年6000元。</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四、名额分配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按照学院各年级人数分配</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五、评选标准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综合成绩由学习成绩、综合能力、创新能力三项指标构成。其中，学习成绩占60%，综合能力占20%，创新能力占20%。分数计算方式为百分制，总分为100分。综合成绩=学习成绩×60%+综合能力×20%+创新能力×20%，均指向参评学年活动的荣誉成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1.学习成绩由教务处统一提供学生参评学年的平均学分绩点。学习成绩=个人平均学分绩点/年级最高个人平均学分绩点×100。</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综合能力分数采用积分制，可将学生获得的优秀党员、十佳大学生、三好学生、优秀学生干部、优秀团干部等综合性荣誉，以及参军入伍服兵役、参加志愿服务、到国际组织实习等符合全面发展价值导向等因素纳入加分体系。其他单项荣誉不加分。同年度同一项荣誉以最高级加分，不重复加分。综合能力=个人综合能力积分/申请者中最高个人综合能力积分×100。</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创新能力分数采用积分制，根据学生参评学年发表学术论文、申请国家专利、参加学科竞赛获奖等情况加分。同一项目按最高级加分，不重复加分。创新能力=个人创新能力积分/申请者中最高个人创新能力积分×100。</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1841"/>
        <w:gridCol w:w="2050"/>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Merge w:val="restart"/>
            <w:vAlign w:val="center"/>
          </w:tcPr>
          <w:p>
            <w:pPr>
              <w:numPr>
                <w:ilvl w:val="0"/>
                <w:numId w:val="0"/>
              </w:numPr>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省政府</w:t>
            </w:r>
          </w:p>
          <w:p>
            <w:pPr>
              <w:numPr>
                <w:ilvl w:val="0"/>
                <w:numId w:val="0"/>
              </w:numPr>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奖学金</w:t>
            </w:r>
          </w:p>
        </w:tc>
        <w:tc>
          <w:tcPr>
            <w:tcW w:w="5913" w:type="dxa"/>
            <w:gridSpan w:val="3"/>
            <w:vAlign w:val="center"/>
          </w:tcPr>
          <w:p>
            <w:pPr>
              <w:numPr>
                <w:ilvl w:val="0"/>
                <w:numId w:val="0"/>
              </w:numPr>
              <w:jc w:val="center"/>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综合成绩（100分）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Merge w:val="continue"/>
            <w:vAlign w:val="center"/>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p>
        </w:tc>
        <w:tc>
          <w:tcPr>
            <w:tcW w:w="1841" w:type="dxa"/>
            <w:vAlign w:val="center"/>
          </w:tcPr>
          <w:p>
            <w:pPr>
              <w:numPr>
                <w:ilvl w:val="0"/>
                <w:numId w:val="0"/>
              </w:numPr>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学习成绩（60%）</w:t>
            </w:r>
          </w:p>
        </w:tc>
        <w:tc>
          <w:tcPr>
            <w:tcW w:w="2050" w:type="dxa"/>
            <w:vAlign w:val="center"/>
          </w:tcPr>
          <w:p>
            <w:pPr>
              <w:numPr>
                <w:ilvl w:val="0"/>
                <w:numId w:val="0"/>
              </w:numPr>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综合能力（20%）</w:t>
            </w:r>
          </w:p>
        </w:tc>
        <w:tc>
          <w:tcPr>
            <w:tcW w:w="2022" w:type="dxa"/>
            <w:vAlign w:val="center"/>
          </w:tcPr>
          <w:p>
            <w:pPr>
              <w:numPr>
                <w:ilvl w:val="0"/>
                <w:numId w:val="0"/>
              </w:numPr>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创新能力（20%）</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六、评选程序</w:t>
      </w:r>
    </w:p>
    <w:p>
      <w:pPr>
        <w:ind w:firstLine="560" w:firstLineChars="200"/>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（一）学院发布省政府奖学金评选通知，符合申请条件的学生提出书面申请，材料包括申请登记表、获奖证书复印件及相关证明材料。</w:t>
      </w:r>
    </w:p>
    <w:p>
      <w:pPr>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（二）学院进行资格审核确定候选人名单，并组织现场答辩，综合考虑学生在校表现进行民主评定，</w:t>
      </w:r>
      <w:bookmarkStart w:id="0" w:name="_GoBack"/>
      <w:bookmarkEnd w:id="0"/>
      <w:r>
        <w:rPr>
          <w:rFonts w:hint="eastAsia" w:ascii="仿宋" w:hAnsi="仿宋" w:eastAsia="仿宋" w:cs="仿宋"/>
          <w:color w:val="000000"/>
          <w:kern w:val="0"/>
          <w:sz w:val="28"/>
          <w:szCs w:val="28"/>
          <w:lang w:val="en-US" w:eastAsia="zh-CN"/>
        </w:rPr>
        <w:t>确定符合条件的推荐学生名单，统一填写申请审批表，在学院范围内公示5个工作日。</w:t>
      </w:r>
    </w:p>
    <w:p>
      <w:pPr>
        <w:ind w:firstLine="560" w:firstLineChars="200"/>
        <w:jc w:val="both"/>
        <w:rPr>
          <w:rFonts w:hint="eastAsia" w:ascii="仿宋" w:hAnsi="仿宋" w:eastAsia="仿宋" w:cs="仿宋"/>
          <w:b/>
          <w:bCs/>
          <w:color w:val="000000"/>
          <w:kern w:val="0"/>
          <w:sz w:val="28"/>
          <w:szCs w:val="28"/>
          <w:lang w:val="en-US" w:eastAsia="zh-CN"/>
        </w:rPr>
      </w:pPr>
      <w:r>
        <w:rPr>
          <w:rFonts w:hint="eastAsia" w:ascii="仿宋" w:hAnsi="仿宋" w:eastAsia="仿宋" w:cs="仿宋"/>
          <w:color w:val="000000"/>
          <w:kern w:val="0"/>
          <w:sz w:val="28"/>
          <w:szCs w:val="28"/>
          <w:lang w:val="en-US" w:eastAsia="zh-CN"/>
        </w:rPr>
        <w:t>（三）在此期间如师生有异议，学院评审小组应在接到材料的2个工作日内予以答复。如情况属实，应做出调整。在公示无异议后将名单上报学校。</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七．其他说明</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（一）本办法所指的学生创新创业成果、各类荣誉及比赛获奖的等级，由学校相关部门负责认定；论文期刊以《杭州师范大学学术期刊定级指导意见》为准。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（二）奖助学金的申请对象应为我校纳入全国招生计划内的在籍且在校全日制学生。因转专业降级至一年级的学生按一年级学生计，专升本学生进入本科阶段第一年的学生按一年级学生计。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三）同一学年内，国家奖学金、省政府奖学金、国家励志奖学金之间不能兼得，国家奖学金和外设奖助学金之间不能兼得，省政府奖学金、国家励志奖学金、国家助学金和部分外设奖助学金之间不能兼得（具体根据外设奖学金评定办法执行）。 </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四）在评审过程中，如发现学生在评审学年有违法违纪行为，或在评审中有弄虚作假行为，或有铺张浪费等把奖助学金用于非学习、生活所需的不适当开支等应取消受助资格情形的，一经核实，取消获资助资格，情节严重的，按有关规定进行处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本办法自公布之日起施行，由药学院学工办负责解释。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杭州师范大学药学院</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color w:val="000000"/>
          <w:kern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28"/>
          <w:szCs w:val="28"/>
          <w:lang w:val="en-US" w:eastAsia="zh-CN"/>
        </w:rPr>
        <w:t xml:space="preserve">                                      2023年10月</w:t>
      </w:r>
    </w:p>
    <w:p>
      <w:p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r>
        <w:rPr>
          <w:rFonts w:hint="eastAsia" w:ascii="仿宋" w:hAnsi="仿宋" w:eastAsia="仿宋" w:cs="仿宋"/>
          <w:b/>
          <w:bCs/>
          <w:sz w:val="28"/>
          <w:szCs w:val="28"/>
        </w:rPr>
        <w:t>药学院综合能力计分对照表</w:t>
      </w:r>
    </w:p>
    <w:tbl>
      <w:tblPr>
        <w:tblStyle w:val="2"/>
        <w:tblpPr w:leftFromText="180" w:rightFromText="180" w:vertAnchor="text" w:horzAnchor="page" w:tblpXSpec="center" w:tblpY="608"/>
        <w:tblOverlap w:val="never"/>
        <w:tblW w:w="86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4"/>
        <w:gridCol w:w="1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7" w:hRule="atLeast"/>
          <w:jc w:val="center"/>
        </w:trPr>
        <w:tc>
          <w:tcPr>
            <w:tcW w:w="6824" w:type="dxa"/>
            <w:vAlign w:val="top"/>
          </w:tcPr>
          <w:p>
            <w:pPr>
              <w:pStyle w:val="5"/>
              <w:keepNext w:val="0"/>
              <w:keepLines w:val="0"/>
              <w:pageBreakBefore w:val="0"/>
              <w:widowControl w:val="0"/>
              <w:kinsoku/>
              <w:wordWrap/>
              <w:overflowPunct/>
              <w:topLinePunct w:val="0"/>
              <w:autoSpaceDE/>
              <w:autoSpaceDN/>
              <w:bidi w:val="0"/>
              <w:adjustRightInd/>
              <w:snapToGrid/>
              <w:spacing w:before="137" w:line="240" w:lineRule="auto"/>
              <w:ind w:left="31" w:right="12"/>
              <w:jc w:val="center"/>
              <w:textAlignment w:val="auto"/>
              <w:rPr>
                <w:rFonts w:hint="eastAsia" w:ascii="仿宋" w:hAnsi="仿宋" w:eastAsia="仿宋" w:cs="仿宋"/>
                <w:sz w:val="24"/>
                <w:szCs w:val="24"/>
              </w:rPr>
            </w:pPr>
            <w:r>
              <w:rPr>
                <w:rFonts w:hint="eastAsia" w:ascii="仿宋" w:hAnsi="仿宋" w:eastAsia="仿宋" w:cs="仿宋"/>
                <w:sz w:val="24"/>
                <w:szCs w:val="24"/>
              </w:rPr>
              <w:t>综合能力类别</w:t>
            </w:r>
          </w:p>
        </w:tc>
        <w:tc>
          <w:tcPr>
            <w:tcW w:w="1809" w:type="dxa"/>
            <w:vAlign w:val="top"/>
          </w:tcPr>
          <w:p>
            <w:pPr>
              <w:pStyle w:val="5"/>
              <w:keepNext w:val="0"/>
              <w:keepLines w:val="0"/>
              <w:pageBreakBefore w:val="0"/>
              <w:widowControl w:val="0"/>
              <w:kinsoku/>
              <w:wordWrap/>
              <w:overflowPunct/>
              <w:topLinePunct w:val="0"/>
              <w:autoSpaceDE/>
              <w:autoSpaceDN/>
              <w:bidi w:val="0"/>
              <w:adjustRightInd/>
              <w:snapToGrid/>
              <w:spacing w:before="137" w:line="240" w:lineRule="auto"/>
              <w:ind w:left="135" w:right="115"/>
              <w:jc w:val="center"/>
              <w:textAlignment w:val="auto"/>
              <w:rPr>
                <w:rFonts w:hint="eastAsia" w:ascii="仿宋" w:hAnsi="仿宋" w:eastAsia="仿宋" w:cs="仿宋"/>
                <w:sz w:val="24"/>
                <w:szCs w:val="24"/>
              </w:rPr>
            </w:pPr>
            <w:r>
              <w:rPr>
                <w:rFonts w:hint="eastAsia" w:ascii="仿宋" w:hAnsi="仿宋" w:eastAsia="仿宋" w:cs="仿宋"/>
                <w:sz w:val="24"/>
                <w:szCs w:val="24"/>
              </w:rPr>
              <w:t>积分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824" w:type="dxa"/>
            <w:vAlign w:val="top"/>
          </w:tcPr>
          <w:p>
            <w:pPr>
              <w:pStyle w:val="5"/>
              <w:keepNext w:val="0"/>
              <w:keepLines w:val="0"/>
              <w:pageBreakBefore w:val="0"/>
              <w:widowControl w:val="0"/>
              <w:kinsoku/>
              <w:wordWrap/>
              <w:overflowPunct/>
              <w:topLinePunct w:val="0"/>
              <w:autoSpaceDE/>
              <w:autoSpaceDN/>
              <w:bidi w:val="0"/>
              <w:adjustRightInd/>
              <w:snapToGrid/>
              <w:spacing w:before="137" w:line="240" w:lineRule="auto"/>
              <w:ind w:left="31" w:right="12"/>
              <w:jc w:val="center"/>
              <w:textAlignment w:val="auto"/>
              <w:rPr>
                <w:rFonts w:hint="eastAsia" w:ascii="仿宋" w:hAnsi="仿宋" w:eastAsia="仿宋" w:cs="仿宋"/>
                <w:sz w:val="24"/>
                <w:szCs w:val="24"/>
              </w:rPr>
            </w:pPr>
            <w:r>
              <w:rPr>
                <w:rFonts w:hint="eastAsia" w:ascii="仿宋" w:hAnsi="仿宋" w:eastAsia="仿宋" w:cs="仿宋"/>
                <w:sz w:val="24"/>
                <w:szCs w:val="24"/>
              </w:rPr>
              <w:t>获全国十佳大学生、全国大学生年度人物、全国自强之星、优秀团员等国家级荣誉称号</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right="115"/>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6824" w:type="dxa"/>
            <w:vAlign w:val="top"/>
          </w:tcPr>
          <w:p>
            <w:pPr>
              <w:pStyle w:val="5"/>
              <w:keepNext w:val="0"/>
              <w:keepLines w:val="0"/>
              <w:pageBreakBefore w:val="0"/>
              <w:widowControl w:val="0"/>
              <w:kinsoku/>
              <w:wordWrap/>
              <w:overflowPunct/>
              <w:topLinePunct w:val="0"/>
              <w:autoSpaceDE/>
              <w:autoSpaceDN/>
              <w:bidi w:val="0"/>
              <w:adjustRightInd/>
              <w:snapToGrid/>
              <w:spacing w:before="135" w:line="240" w:lineRule="auto"/>
              <w:ind w:left="111"/>
              <w:jc w:val="center"/>
              <w:textAlignment w:val="auto"/>
              <w:rPr>
                <w:rFonts w:hint="eastAsia" w:ascii="仿宋" w:hAnsi="仿宋" w:eastAsia="仿宋" w:cs="仿宋"/>
                <w:sz w:val="24"/>
                <w:szCs w:val="24"/>
              </w:rPr>
            </w:pPr>
            <w:r>
              <w:rPr>
                <w:rFonts w:hint="eastAsia" w:ascii="仿宋" w:hAnsi="仿宋" w:eastAsia="仿宋" w:cs="仿宋"/>
                <w:spacing w:val="-20"/>
                <w:sz w:val="24"/>
                <w:szCs w:val="24"/>
              </w:rPr>
              <w:t>获浙江省十佳大学生提名、省级优秀党员、十佳大学生、三好学生、优秀学生干部</w:t>
            </w:r>
            <w:r>
              <w:rPr>
                <w:rFonts w:hint="eastAsia" w:ascii="仿宋" w:hAnsi="仿宋" w:eastAsia="仿宋" w:cs="仿宋"/>
                <w:sz w:val="24"/>
                <w:szCs w:val="24"/>
              </w:rPr>
              <w:t>优秀团员等省部级荣誉称号</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 w:line="240" w:lineRule="auto"/>
              <w:ind w:right="115"/>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jc w:val="center"/>
        </w:trPr>
        <w:tc>
          <w:tcPr>
            <w:tcW w:w="6824" w:type="dxa"/>
            <w:vAlign w:val="top"/>
          </w:tcPr>
          <w:p>
            <w:pPr>
              <w:pStyle w:val="5"/>
              <w:keepNext w:val="0"/>
              <w:keepLines w:val="0"/>
              <w:pageBreakBefore w:val="0"/>
              <w:widowControl w:val="0"/>
              <w:kinsoku/>
              <w:wordWrap/>
              <w:overflowPunct/>
              <w:topLinePunct w:val="0"/>
              <w:autoSpaceDE/>
              <w:autoSpaceDN/>
              <w:bidi w:val="0"/>
              <w:adjustRightInd/>
              <w:snapToGrid/>
              <w:spacing w:before="135" w:line="240" w:lineRule="auto"/>
              <w:ind w:left="31" w:right="12"/>
              <w:jc w:val="center"/>
              <w:textAlignment w:val="auto"/>
              <w:rPr>
                <w:rFonts w:hint="eastAsia" w:ascii="仿宋" w:hAnsi="仿宋" w:eastAsia="仿宋" w:cs="仿宋"/>
                <w:sz w:val="24"/>
                <w:szCs w:val="24"/>
              </w:rPr>
            </w:pPr>
            <w:r>
              <w:rPr>
                <w:rFonts w:hint="eastAsia" w:ascii="仿宋" w:hAnsi="仿宋" w:eastAsia="仿宋" w:cs="仿宋"/>
                <w:sz w:val="24"/>
                <w:szCs w:val="24"/>
              </w:rPr>
              <w:t>获杭州市优秀团干部、优秀党员、十佳大学生、三好学生、优秀学生干部、优秀团员等市厅级荣誉称号</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right="115"/>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jc w:val="center"/>
        </w:trPr>
        <w:tc>
          <w:tcPr>
            <w:tcW w:w="6824" w:type="dxa"/>
            <w:vAlign w:val="top"/>
          </w:tcPr>
          <w:p>
            <w:pPr>
              <w:pStyle w:val="5"/>
              <w:keepNext w:val="0"/>
              <w:keepLines w:val="0"/>
              <w:pageBreakBefore w:val="0"/>
              <w:widowControl w:val="0"/>
              <w:kinsoku/>
              <w:wordWrap/>
              <w:overflowPunct/>
              <w:topLinePunct w:val="0"/>
              <w:autoSpaceDE/>
              <w:autoSpaceDN/>
              <w:bidi w:val="0"/>
              <w:adjustRightInd/>
              <w:snapToGrid/>
              <w:spacing w:before="135" w:line="240" w:lineRule="auto"/>
              <w:ind w:left="31" w:right="12"/>
              <w:jc w:val="center"/>
              <w:textAlignment w:val="auto"/>
              <w:rPr>
                <w:rFonts w:hint="eastAsia" w:ascii="仿宋" w:hAnsi="仿宋" w:eastAsia="仿宋" w:cs="仿宋"/>
                <w:sz w:val="24"/>
                <w:szCs w:val="24"/>
              </w:rPr>
            </w:pPr>
            <w:r>
              <w:rPr>
                <w:rFonts w:hint="eastAsia" w:ascii="仿宋" w:hAnsi="仿宋" w:eastAsia="仿宋" w:cs="仿宋"/>
                <w:sz w:val="24"/>
                <w:szCs w:val="24"/>
              </w:rPr>
              <w:t>获校级优秀党员、十佳大学生、经亨颐奖学金等校级层面竞争选拔的综合性荣誉</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5" w:line="240" w:lineRule="auto"/>
              <w:jc w:val="center"/>
              <w:textAlignment w:val="auto"/>
              <w:rPr>
                <w:rFonts w:hint="eastAsia" w:ascii="仿宋" w:hAnsi="仿宋" w:eastAsia="仿宋" w:cs="仿宋"/>
                <w:sz w:val="24"/>
                <w:szCs w:val="24"/>
                <w:lang w:eastAsia="zh-CN"/>
              </w:rPr>
            </w:pPr>
            <w:r>
              <w:rPr>
                <w:rFonts w:hint="eastAsia" w:ascii="仿宋" w:hAnsi="仿宋" w:eastAsia="仿宋" w:cs="仿宋"/>
                <w:w w:val="10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7" w:hRule="atLeast"/>
          <w:jc w:val="center"/>
        </w:trPr>
        <w:tc>
          <w:tcPr>
            <w:tcW w:w="6824" w:type="dxa"/>
            <w:vAlign w:val="top"/>
          </w:tcPr>
          <w:p>
            <w:pPr>
              <w:pStyle w:val="5"/>
              <w:keepNext w:val="0"/>
              <w:keepLines w:val="0"/>
              <w:pageBreakBefore w:val="0"/>
              <w:widowControl w:val="0"/>
              <w:kinsoku/>
              <w:wordWrap/>
              <w:overflowPunct/>
              <w:topLinePunct w:val="0"/>
              <w:autoSpaceDE/>
              <w:autoSpaceDN/>
              <w:bidi w:val="0"/>
              <w:adjustRightInd/>
              <w:snapToGrid/>
              <w:spacing w:before="138" w:line="240" w:lineRule="auto"/>
              <w:ind w:left="31" w:right="12"/>
              <w:jc w:val="center"/>
              <w:textAlignment w:val="auto"/>
              <w:rPr>
                <w:rFonts w:hint="eastAsia" w:ascii="仿宋" w:hAnsi="仿宋" w:eastAsia="仿宋" w:cs="仿宋"/>
                <w:sz w:val="24"/>
                <w:szCs w:val="24"/>
              </w:rPr>
            </w:pPr>
            <w:r>
              <w:rPr>
                <w:rFonts w:hint="eastAsia" w:ascii="仿宋" w:hAnsi="仿宋" w:eastAsia="仿宋" w:cs="仿宋"/>
                <w:sz w:val="24"/>
                <w:szCs w:val="24"/>
              </w:rPr>
              <w:t>获校十佳团干部、十佳团员、十佳志愿者（最美志愿者）等校级层面典型人物称号</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 w:line="240" w:lineRule="auto"/>
              <w:jc w:val="center"/>
              <w:textAlignment w:val="auto"/>
              <w:rPr>
                <w:rFonts w:hint="eastAsia" w:ascii="仿宋" w:hAnsi="仿宋" w:eastAsia="仿宋" w:cs="仿宋"/>
                <w:sz w:val="24"/>
                <w:szCs w:val="24"/>
                <w:lang w:eastAsia="zh-CN"/>
              </w:rPr>
            </w:pPr>
            <w:r>
              <w:rPr>
                <w:rFonts w:hint="eastAsia" w:ascii="仿宋" w:hAnsi="仿宋" w:eastAsia="仿宋" w:cs="仿宋"/>
                <w:w w:val="10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3" w:hRule="atLeast"/>
          <w:jc w:val="center"/>
        </w:trPr>
        <w:tc>
          <w:tcPr>
            <w:tcW w:w="6824" w:type="dxa"/>
            <w:vAlign w:val="top"/>
          </w:tcPr>
          <w:p>
            <w:pPr>
              <w:pStyle w:val="5"/>
              <w:keepNext w:val="0"/>
              <w:keepLines w:val="0"/>
              <w:pageBreakBefore w:val="0"/>
              <w:widowControl w:val="0"/>
              <w:kinsoku/>
              <w:wordWrap/>
              <w:overflowPunct/>
              <w:topLinePunct w:val="0"/>
              <w:autoSpaceDE/>
              <w:autoSpaceDN/>
              <w:bidi w:val="0"/>
              <w:adjustRightInd/>
              <w:snapToGrid/>
              <w:spacing w:before="135" w:line="240" w:lineRule="auto"/>
              <w:ind w:left="29" w:right="12"/>
              <w:jc w:val="center"/>
              <w:textAlignment w:val="auto"/>
              <w:rPr>
                <w:rFonts w:hint="eastAsia" w:ascii="仿宋" w:hAnsi="仿宋" w:eastAsia="仿宋" w:cs="仿宋"/>
                <w:sz w:val="24"/>
                <w:szCs w:val="24"/>
              </w:rPr>
            </w:pPr>
            <w:r>
              <w:rPr>
                <w:rFonts w:hint="eastAsia" w:ascii="仿宋" w:hAnsi="仿宋" w:eastAsia="仿宋" w:cs="仿宋"/>
                <w:sz w:val="24"/>
                <w:szCs w:val="24"/>
              </w:rPr>
              <w:t>参军入伍服兵役</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5" w:line="240" w:lineRule="auto"/>
              <w:ind w:left="17"/>
              <w:jc w:val="center"/>
              <w:textAlignment w:val="auto"/>
              <w:rPr>
                <w:rFonts w:hint="eastAsia" w:ascii="仿宋" w:hAnsi="仿宋" w:eastAsia="仿宋" w:cs="仿宋"/>
                <w:sz w:val="24"/>
                <w:szCs w:val="24"/>
              </w:rPr>
            </w:pPr>
            <w:r>
              <w:rPr>
                <w:rFonts w:hint="eastAsia" w:ascii="仿宋" w:hAnsi="仿宋" w:eastAsia="仿宋" w:cs="仿宋"/>
                <w:w w:val="1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3" w:hRule="atLeast"/>
          <w:jc w:val="center"/>
        </w:trPr>
        <w:tc>
          <w:tcPr>
            <w:tcW w:w="6824" w:type="dxa"/>
            <w:vAlign w:val="top"/>
          </w:tcPr>
          <w:p>
            <w:pPr>
              <w:pStyle w:val="5"/>
              <w:keepNext w:val="0"/>
              <w:keepLines w:val="0"/>
              <w:pageBreakBefore w:val="0"/>
              <w:widowControl w:val="0"/>
              <w:kinsoku/>
              <w:wordWrap/>
              <w:overflowPunct/>
              <w:topLinePunct w:val="0"/>
              <w:autoSpaceDE/>
              <w:autoSpaceDN/>
              <w:bidi w:val="0"/>
              <w:adjustRightInd/>
              <w:snapToGrid/>
              <w:spacing w:before="135" w:line="240" w:lineRule="auto"/>
              <w:ind w:left="31" w:right="12"/>
              <w:jc w:val="center"/>
              <w:textAlignment w:val="auto"/>
              <w:rPr>
                <w:rFonts w:hint="eastAsia" w:ascii="仿宋" w:hAnsi="仿宋" w:eastAsia="仿宋" w:cs="仿宋"/>
                <w:sz w:val="24"/>
                <w:szCs w:val="24"/>
              </w:rPr>
            </w:pPr>
            <w:r>
              <w:rPr>
                <w:rFonts w:hint="eastAsia" w:ascii="仿宋" w:hAnsi="仿宋" w:eastAsia="仿宋" w:cs="仿宋"/>
                <w:sz w:val="24"/>
                <w:szCs w:val="24"/>
              </w:rPr>
              <w:t>参与国际组织实习</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5" w:line="240" w:lineRule="auto"/>
              <w:ind w:left="17"/>
              <w:jc w:val="center"/>
              <w:textAlignment w:val="auto"/>
              <w:rPr>
                <w:rFonts w:hint="eastAsia" w:ascii="仿宋" w:hAnsi="仿宋" w:eastAsia="仿宋" w:cs="仿宋"/>
                <w:sz w:val="24"/>
                <w:szCs w:val="24"/>
              </w:rPr>
            </w:pPr>
            <w:r>
              <w:rPr>
                <w:rFonts w:hint="eastAsia" w:ascii="仿宋" w:hAnsi="仿宋" w:eastAsia="仿宋" w:cs="仿宋"/>
                <w:w w:val="1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jc w:val="center"/>
        </w:trPr>
        <w:tc>
          <w:tcPr>
            <w:tcW w:w="6824" w:type="dxa"/>
            <w:vAlign w:val="top"/>
          </w:tcPr>
          <w:p>
            <w:pPr>
              <w:pStyle w:val="5"/>
              <w:keepNext w:val="0"/>
              <w:keepLines w:val="0"/>
              <w:pageBreakBefore w:val="0"/>
              <w:widowControl w:val="0"/>
              <w:kinsoku/>
              <w:wordWrap/>
              <w:overflowPunct/>
              <w:topLinePunct w:val="0"/>
              <w:autoSpaceDE/>
              <w:autoSpaceDN/>
              <w:bidi w:val="0"/>
              <w:adjustRightInd/>
              <w:snapToGrid/>
              <w:spacing w:before="136" w:line="240" w:lineRule="auto"/>
              <w:ind w:left="31" w:leftChars="0" w:right="12" w:righ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获校三好学生、优秀学生干部、优秀团干部等校级层面综合荣誉</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6" w:line="240" w:lineRule="auto"/>
              <w:ind w:left="17"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w w:val="10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jc w:val="center"/>
        </w:trPr>
        <w:tc>
          <w:tcPr>
            <w:tcW w:w="6824" w:type="dxa"/>
            <w:vAlign w:val="top"/>
          </w:tcPr>
          <w:p>
            <w:pPr>
              <w:pStyle w:val="5"/>
              <w:keepNext w:val="0"/>
              <w:keepLines w:val="0"/>
              <w:pageBreakBefore w:val="0"/>
              <w:widowControl w:val="0"/>
              <w:kinsoku/>
              <w:wordWrap/>
              <w:overflowPunct/>
              <w:topLinePunct w:val="0"/>
              <w:autoSpaceDE/>
              <w:autoSpaceDN/>
              <w:bidi w:val="0"/>
              <w:adjustRightInd/>
              <w:snapToGrid/>
              <w:spacing w:before="137" w:line="240" w:lineRule="auto"/>
              <w:ind w:left="31" w:leftChars="0" w:right="9" w:righ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获校级优秀团员</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17"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w w:val="100"/>
                <w:sz w:val="24"/>
                <w:szCs w:val="24"/>
                <w:lang w:val="en-US" w:eastAsia="zh-CN"/>
              </w:rPr>
              <w:t>0.5</w:t>
            </w:r>
          </w:p>
        </w:tc>
      </w:tr>
    </w:tbl>
    <w:p>
      <w:pPr>
        <w:jc w:val="left"/>
        <w:rPr>
          <w:rFonts w:hint="eastAsia" w:ascii="黑体" w:hAnsi="黑体" w:eastAsia="黑体"/>
          <w:sz w:val="28"/>
          <w:szCs w:val="28"/>
          <w:lang w:val="en-US" w:eastAsia="zh-CN"/>
        </w:rPr>
      </w:pPr>
    </w:p>
    <w:p>
      <w:pPr>
        <w:jc w:val="left"/>
        <w:rPr>
          <w:rFonts w:hint="eastAsia" w:ascii="黑体" w:hAnsi="黑体" w:eastAsia="黑体"/>
          <w:sz w:val="28"/>
          <w:szCs w:val="28"/>
          <w:lang w:val="en-US" w:eastAsia="zh-CN"/>
        </w:rPr>
      </w:pPr>
    </w:p>
    <w:p>
      <w:pPr>
        <w:jc w:val="left"/>
        <w:rPr>
          <w:rFonts w:hint="eastAsia" w:ascii="黑体" w:hAnsi="黑体" w:eastAsia="黑体"/>
          <w:sz w:val="28"/>
          <w:szCs w:val="28"/>
          <w:lang w:val="en-US" w:eastAsia="zh-CN"/>
        </w:rPr>
      </w:pPr>
    </w:p>
    <w:p>
      <w:pPr>
        <w:jc w:val="left"/>
        <w:rPr>
          <w:rFonts w:hint="eastAsia" w:ascii="黑体" w:hAnsi="黑体" w:eastAsia="黑体"/>
          <w:sz w:val="28"/>
          <w:szCs w:val="28"/>
          <w:lang w:val="en-US" w:eastAsia="zh-CN"/>
        </w:rPr>
      </w:pPr>
    </w:p>
    <w:p>
      <w:pPr>
        <w:jc w:val="left"/>
        <w:rPr>
          <w:rFonts w:hint="eastAsia" w:ascii="黑体" w:hAnsi="黑体" w:eastAsia="黑体"/>
          <w:sz w:val="28"/>
          <w:szCs w:val="28"/>
          <w:lang w:val="en-US" w:eastAsia="zh-CN"/>
        </w:rPr>
      </w:pPr>
    </w:p>
    <w:p>
      <w:pPr>
        <w:jc w:val="left"/>
        <w:rPr>
          <w:rFonts w:hint="eastAsia" w:ascii="黑体" w:hAnsi="黑体" w:eastAsia="黑体"/>
          <w:sz w:val="28"/>
          <w:szCs w:val="28"/>
          <w:lang w:val="en-US" w:eastAsia="zh-CN"/>
        </w:rPr>
      </w:pPr>
    </w:p>
    <w:p>
      <w:pPr>
        <w:jc w:val="left"/>
        <w:rPr>
          <w:rFonts w:hint="eastAsia" w:ascii="黑体" w:hAnsi="黑体" w:eastAsia="黑体"/>
          <w:sz w:val="28"/>
          <w:szCs w:val="28"/>
          <w:lang w:val="en-US" w:eastAsia="zh-CN"/>
        </w:rPr>
      </w:pPr>
    </w:p>
    <w:p>
      <w:pPr>
        <w:jc w:val="left"/>
        <w:rPr>
          <w:rFonts w:hint="eastAsia" w:ascii="黑体" w:hAnsi="黑体" w:eastAsia="黑体"/>
          <w:sz w:val="28"/>
          <w:szCs w:val="28"/>
          <w:lang w:val="en-US" w:eastAsia="zh-CN"/>
        </w:rPr>
      </w:pPr>
    </w:p>
    <w:p>
      <w:pPr>
        <w:jc w:val="left"/>
        <w:rPr>
          <w:rFonts w:hint="eastAsia" w:ascii="黑体" w:hAnsi="黑体" w:eastAsia="黑体"/>
          <w:sz w:val="28"/>
          <w:szCs w:val="28"/>
          <w:lang w:val="en-US" w:eastAsia="zh-CN"/>
        </w:rPr>
      </w:pPr>
    </w:p>
    <w:p>
      <w:pPr>
        <w:jc w:val="left"/>
        <w:rPr>
          <w:rFonts w:hint="eastAsia" w:ascii="黑体" w:hAnsi="黑体" w:eastAsia="黑体"/>
          <w:sz w:val="28"/>
          <w:szCs w:val="28"/>
          <w:lang w:val="en-US" w:eastAsia="zh-CN"/>
        </w:rPr>
      </w:pPr>
    </w:p>
    <w:p>
      <w:pPr>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附件2：</w:t>
      </w:r>
      <w:r>
        <w:rPr>
          <w:rFonts w:hint="eastAsia" w:ascii="仿宋" w:hAnsi="仿宋" w:eastAsia="仿宋" w:cs="仿宋"/>
          <w:b/>
          <w:bCs/>
          <w:sz w:val="28"/>
          <w:szCs w:val="28"/>
        </w:rPr>
        <w:t>药学院创新能力计分对照表</w:t>
      </w:r>
    </w:p>
    <w:p>
      <w:pPr>
        <w:numPr>
          <w:ilvl w:val="0"/>
          <w:numId w:val="1"/>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学术论文及竞赛加分</w:t>
      </w:r>
    </w:p>
    <w:tbl>
      <w:tblPr>
        <w:tblStyle w:val="2"/>
        <w:tblW w:w="8949" w:type="dxa"/>
        <w:jc w:val="center"/>
        <w:tblLayout w:type="fixed"/>
        <w:tblCellMar>
          <w:top w:w="0" w:type="dxa"/>
          <w:left w:w="108" w:type="dxa"/>
          <w:bottom w:w="0" w:type="dxa"/>
          <w:right w:w="108" w:type="dxa"/>
        </w:tblCellMar>
      </w:tblPr>
      <w:tblGrid>
        <w:gridCol w:w="1849"/>
        <w:gridCol w:w="5515"/>
        <w:gridCol w:w="1585"/>
      </w:tblGrid>
      <w:tr>
        <w:tblPrEx>
          <w:tblCellMar>
            <w:top w:w="0" w:type="dxa"/>
            <w:left w:w="108" w:type="dxa"/>
            <w:bottom w:w="0" w:type="dxa"/>
            <w:right w:w="108" w:type="dxa"/>
          </w:tblCellMar>
        </w:tblPrEx>
        <w:trPr>
          <w:trHeight w:val="1200"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类别</w:t>
            </w:r>
          </w:p>
        </w:tc>
        <w:tc>
          <w:tcPr>
            <w:tcW w:w="55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成果荣誉情况</w:t>
            </w:r>
          </w:p>
        </w:tc>
        <w:tc>
          <w:tcPr>
            <w:tcW w:w="15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负责人（第一作者）加分</w:t>
            </w:r>
          </w:p>
        </w:tc>
      </w:tr>
      <w:tr>
        <w:tblPrEx>
          <w:tblCellMar>
            <w:top w:w="0" w:type="dxa"/>
            <w:left w:w="108" w:type="dxa"/>
            <w:bottom w:w="0" w:type="dxa"/>
            <w:right w:w="108" w:type="dxa"/>
          </w:tblCellMar>
        </w:tblPrEx>
        <w:trPr>
          <w:trHeight w:val="285" w:hRule="atLeast"/>
          <w:jc w:val="center"/>
        </w:trPr>
        <w:tc>
          <w:tcPr>
            <w:tcW w:w="184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学术研究</w:t>
            </w: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《Nature》《Science》《Cell》主刊论文</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100</w:t>
            </w:r>
          </w:p>
        </w:tc>
      </w:tr>
      <w:tr>
        <w:tblPrEx>
          <w:tblCellMar>
            <w:top w:w="0" w:type="dxa"/>
            <w:left w:w="108" w:type="dxa"/>
            <w:bottom w:w="0" w:type="dxa"/>
            <w:right w:w="108" w:type="dxa"/>
          </w:tblCellMar>
        </w:tblPrEx>
        <w:trPr>
          <w:trHeight w:val="63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美国科学院院刊PNAS或Science/Nature/Cell 系列子刊(影响因子大于10 分的子刊)</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30</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理工农医JCR一区（SCI收录、SSCI/A&amp;HCI收录）</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16</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理工农医JCR二区（SCI收录）</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理工农医JCR三区（SCI收录）</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理工农医JCR四区（SCI收录）</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人文社会科学期刊-权威</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16</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人文社会科学期刊-一级</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人文社会科学期刊-二级</w:t>
            </w:r>
          </w:p>
          <w:p>
            <w:pPr>
              <w:widowControl/>
              <w:jc w:val="center"/>
              <w:rPr>
                <w:rFonts w:hint="eastAsia" w:ascii="仿宋" w:hAnsi="仿宋" w:eastAsia="仿宋" w:cs="仿宋"/>
                <w:kern w:val="0"/>
                <w:sz w:val="24"/>
              </w:rPr>
            </w:pPr>
            <w:r>
              <w:rPr>
                <w:rFonts w:hint="eastAsia" w:ascii="仿宋" w:hAnsi="仿宋" w:eastAsia="仿宋" w:cs="仿宋"/>
                <w:kern w:val="0"/>
                <w:sz w:val="24"/>
              </w:rPr>
              <w:t>（CSSCI收录，不含扩展源期刊）</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其他一级期刊（理工农医）</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其他二级期刊（理工农医）</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其他合法期刊</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285" w:hRule="atLeast"/>
          <w:jc w:val="center"/>
        </w:trPr>
        <w:tc>
          <w:tcPr>
            <w:tcW w:w="184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专利授权</w:t>
            </w: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国家发明专利授权</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10</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国家实用新型专利授权</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软件著作权</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285" w:hRule="atLeast"/>
          <w:jc w:val="center"/>
        </w:trPr>
        <w:tc>
          <w:tcPr>
            <w:tcW w:w="1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教务处认定的一类竞赛（包含浙江省大学生药学大赛）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20</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16</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国家二等、省特等奖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国家三等、省一等奖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国家优秀奖、省二等奖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省三等奖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省级优秀奖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307" w:hRule="atLeast"/>
          <w:jc w:val="center"/>
        </w:trPr>
        <w:tc>
          <w:tcPr>
            <w:tcW w:w="1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教务处认定的二类竞赛（包括全国大学生基础医学创新研究暨实验设计论坛）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国家二等、省特等奖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国家三等、省一等奖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国家优秀奖、省二等奖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省三等奖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省级优秀奖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285" w:hRule="atLeast"/>
          <w:jc w:val="center"/>
        </w:trPr>
        <w:tc>
          <w:tcPr>
            <w:tcW w:w="1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教务处认定的三类竞赛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国家二等、省特等奖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国家三等、省一等奖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2.5</w:t>
            </w:r>
          </w:p>
        </w:tc>
      </w:tr>
      <w:tr>
        <w:tblPrEx>
          <w:tblCellMar>
            <w:top w:w="0" w:type="dxa"/>
            <w:left w:w="108" w:type="dxa"/>
            <w:bottom w:w="0" w:type="dxa"/>
            <w:right w:w="108" w:type="dxa"/>
          </w:tblCellMar>
        </w:tblPrEx>
        <w:trPr>
          <w:trHeight w:val="285" w:hRule="atLeast"/>
          <w:jc w:val="center"/>
        </w:trPr>
        <w:tc>
          <w:tcPr>
            <w:tcW w:w="18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国家优秀奖、省二等奖</w:t>
            </w:r>
          </w:p>
        </w:tc>
        <w:tc>
          <w:tcPr>
            <w:tcW w:w="15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省三等奖、省级优秀奖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285" w:hRule="atLeast"/>
          <w:jc w:val="center"/>
        </w:trPr>
        <w:tc>
          <w:tcPr>
            <w:tcW w:w="1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校级创新创业竞赛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校一等奖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校二等奖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校三等奖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0.5</w:t>
            </w:r>
          </w:p>
        </w:tc>
      </w:tr>
    </w:tbl>
    <w:p>
      <w:pPr>
        <w:ind w:right="-512" w:rightChars="-244"/>
        <w:jc w:val="left"/>
        <w:rPr>
          <w:rFonts w:ascii="楷体" w:hAnsi="楷体" w:eastAsia="楷体"/>
          <w:sz w:val="24"/>
        </w:rPr>
      </w:pPr>
      <w:r>
        <w:rPr>
          <w:rFonts w:hint="eastAsia" w:ascii="楷体" w:hAnsi="楷体" w:eastAsia="楷体"/>
          <w:color w:val="auto"/>
          <w:sz w:val="24"/>
        </w:rPr>
        <w:t>注：</w:t>
      </w:r>
      <w:r>
        <w:rPr>
          <w:rFonts w:hint="eastAsia" w:ascii="楷体" w:hAnsi="楷体" w:eastAsia="楷体"/>
          <w:color w:val="auto"/>
          <w:sz w:val="24"/>
          <w:lang w:val="en-US" w:eastAsia="zh-CN"/>
        </w:rPr>
        <w:t>1.</w:t>
      </w:r>
      <w:r>
        <w:rPr>
          <w:rFonts w:hint="eastAsia" w:ascii="楷体" w:hAnsi="楷体" w:eastAsia="楷体"/>
          <w:b/>
          <w:bCs/>
          <w:color w:val="auto"/>
          <w:sz w:val="24"/>
        </w:rPr>
        <w:t>学科竞赛以学校部门当年最新认定文件为标准，</w:t>
      </w:r>
      <w:r>
        <w:rPr>
          <w:rFonts w:hint="eastAsia" w:ascii="楷体" w:hAnsi="楷体" w:eastAsia="楷体"/>
          <w:color w:val="auto"/>
          <w:sz w:val="24"/>
        </w:rPr>
        <w:t>一类竞赛包括互联网+大学生创新创业大赛、挑战杯大学生创业大赛、挑战杯大学生科技作品竞赛、大学生职业生涯规划大赛、大学生生命科学竞赛、大学生护理竞赛、大学生医学竞赛、大学生理论知识竞赛、大学生数学建模竞赛、大学生网络与信息安全竞赛等；二类竞赛包括全国口译大赛（英语）、中国青年互联网创业大赛、大学生艺术节活动等；三类竞赛包</w:t>
      </w:r>
      <w:r>
        <w:rPr>
          <w:rFonts w:hint="eastAsia" w:ascii="楷体" w:hAnsi="楷体" w:eastAsia="楷体"/>
          <w:sz w:val="24"/>
        </w:rPr>
        <w:t>括全国高等医学院校大学生临床技能竞赛（华东分区赛）、全国医药卫生管理专业本科生毕业论文(设计)竞赛、大学生公共管理案例分析大赛、“21世纪杯”全国英语演讲比赛等；具体以学校最新发布的学科竞赛分类为依据。</w:t>
      </w:r>
    </w:p>
    <w:p>
      <w:pPr>
        <w:ind w:right="-512" w:rightChars="-244"/>
        <w:jc w:val="left"/>
        <w:rPr>
          <w:rFonts w:ascii="楷体" w:hAnsi="楷体" w:eastAsia="楷体"/>
          <w:sz w:val="24"/>
        </w:rPr>
      </w:pPr>
      <w:r>
        <w:rPr>
          <w:rFonts w:hint="eastAsia" w:ascii="楷体" w:hAnsi="楷体" w:eastAsia="楷体"/>
          <w:sz w:val="24"/>
          <w:lang w:val="en-US" w:eastAsia="zh-CN"/>
        </w:rPr>
        <w:t>2.</w:t>
      </w:r>
      <w:r>
        <w:rPr>
          <w:rFonts w:hint="eastAsia" w:ascii="楷体" w:hAnsi="楷体" w:eastAsia="楷体"/>
          <w:sz w:val="24"/>
        </w:rPr>
        <w:t>学科论文加权系数：</w:t>
      </w:r>
    </w:p>
    <w:p>
      <w:pPr>
        <w:ind w:right="-512" w:rightChars="-244"/>
        <w:jc w:val="left"/>
        <w:rPr>
          <w:rFonts w:ascii="楷体" w:hAnsi="楷体" w:eastAsia="楷体"/>
          <w:sz w:val="24"/>
        </w:rPr>
      </w:pPr>
      <w:r>
        <w:rPr>
          <w:rFonts w:hint="eastAsia" w:ascii="楷体" w:hAnsi="楷体" w:eastAsia="楷体"/>
          <w:sz w:val="24"/>
          <w:lang w:eastAsia="zh-CN"/>
        </w:rPr>
        <w:t>（</w:t>
      </w:r>
      <w:r>
        <w:rPr>
          <w:rFonts w:hint="eastAsia" w:ascii="楷体" w:hAnsi="楷体" w:eastAsia="楷体"/>
          <w:sz w:val="24"/>
          <w:lang w:val="en-US" w:eastAsia="zh-CN"/>
        </w:rPr>
        <w:t>1</w:t>
      </w:r>
      <w:r>
        <w:rPr>
          <w:rFonts w:hint="eastAsia" w:ascii="楷体" w:hAnsi="楷体" w:eastAsia="楷体"/>
          <w:sz w:val="24"/>
          <w:lang w:eastAsia="zh-CN"/>
        </w:rPr>
        <w:t>）</w:t>
      </w:r>
      <w:r>
        <w:rPr>
          <w:rFonts w:hint="eastAsia" w:ascii="楷体" w:hAnsi="楷体" w:eastAsia="楷体"/>
          <w:sz w:val="24"/>
        </w:rPr>
        <w:t>E</w:t>
      </w:r>
      <w:r>
        <w:rPr>
          <w:rFonts w:ascii="楷体" w:hAnsi="楷体" w:eastAsia="楷体"/>
          <w:sz w:val="24"/>
        </w:rPr>
        <w:t>SI</w:t>
      </w:r>
      <w:r>
        <w:rPr>
          <w:rFonts w:hint="eastAsia" w:ascii="楷体" w:hAnsi="楷体" w:eastAsia="楷体"/>
          <w:sz w:val="24"/>
        </w:rPr>
        <w:t>高被引论文，在原有加分基础上×1</w:t>
      </w:r>
      <w:r>
        <w:rPr>
          <w:rFonts w:ascii="楷体" w:hAnsi="楷体" w:eastAsia="楷体"/>
          <w:sz w:val="24"/>
        </w:rPr>
        <w:t>50%</w:t>
      </w:r>
    </w:p>
    <w:p>
      <w:pPr>
        <w:ind w:right="-512" w:rightChars="-244"/>
        <w:jc w:val="left"/>
        <w:rPr>
          <w:rFonts w:ascii="楷体" w:hAnsi="楷体" w:eastAsia="楷体"/>
          <w:sz w:val="24"/>
        </w:rPr>
      </w:pPr>
      <w:r>
        <w:rPr>
          <w:rFonts w:hint="eastAsia" w:ascii="楷体" w:hAnsi="楷体" w:eastAsia="楷体"/>
          <w:sz w:val="24"/>
          <w:lang w:eastAsia="zh-CN"/>
        </w:rPr>
        <w:t>（</w:t>
      </w:r>
      <w:r>
        <w:rPr>
          <w:rFonts w:hint="eastAsia" w:ascii="楷体" w:hAnsi="楷体" w:eastAsia="楷体"/>
          <w:sz w:val="24"/>
          <w:lang w:val="en-US" w:eastAsia="zh-CN"/>
        </w:rPr>
        <w:t>2</w:t>
      </w:r>
      <w:r>
        <w:rPr>
          <w:rFonts w:hint="eastAsia" w:ascii="楷体" w:hAnsi="楷体" w:eastAsia="楷体"/>
          <w:sz w:val="24"/>
          <w:lang w:eastAsia="zh-CN"/>
        </w:rPr>
        <w:t>）</w:t>
      </w:r>
      <w:r>
        <w:rPr>
          <w:rFonts w:hint="eastAsia" w:ascii="楷体" w:hAnsi="楷体" w:eastAsia="楷体"/>
          <w:sz w:val="24"/>
        </w:rPr>
        <w:t>发表在药理学与药毒学ESI期刊上的论文×1</w:t>
      </w:r>
      <w:r>
        <w:rPr>
          <w:rFonts w:ascii="楷体" w:hAnsi="楷体" w:eastAsia="楷体"/>
          <w:sz w:val="24"/>
        </w:rPr>
        <w:t>50%</w:t>
      </w:r>
    </w:p>
    <w:p>
      <w:pPr>
        <w:ind w:right="-512" w:rightChars="-244"/>
        <w:jc w:val="left"/>
        <w:rPr>
          <w:rFonts w:hint="eastAsia" w:ascii="楷体" w:hAnsi="楷体" w:eastAsia="楷体"/>
          <w:sz w:val="24"/>
          <w:lang w:eastAsia="zh-CN"/>
        </w:rPr>
      </w:pPr>
      <w:r>
        <w:rPr>
          <w:rFonts w:hint="eastAsia" w:ascii="楷体" w:hAnsi="楷体" w:eastAsia="楷体"/>
          <w:sz w:val="24"/>
          <w:lang w:eastAsia="zh-CN"/>
        </w:rPr>
        <w:t>（</w:t>
      </w:r>
      <w:r>
        <w:rPr>
          <w:rFonts w:hint="eastAsia" w:ascii="楷体" w:hAnsi="楷体" w:eastAsia="楷体"/>
          <w:sz w:val="24"/>
          <w:lang w:val="en-US" w:eastAsia="zh-CN"/>
        </w:rPr>
        <w:t>3</w:t>
      </w:r>
      <w:r>
        <w:rPr>
          <w:rFonts w:hint="eastAsia" w:ascii="楷体" w:hAnsi="楷体" w:eastAsia="楷体"/>
          <w:sz w:val="24"/>
          <w:lang w:eastAsia="zh-CN"/>
        </w:rPr>
        <w:t>）</w:t>
      </w:r>
      <w:r>
        <w:rPr>
          <w:rFonts w:hint="eastAsia" w:ascii="楷体" w:hAnsi="楷体" w:eastAsia="楷体"/>
          <w:sz w:val="24"/>
        </w:rPr>
        <w:t>引用杭州师范大学已发表的药理学与药毒学ESI期刊论文，每引用一篇+</w:t>
      </w:r>
      <w:r>
        <w:rPr>
          <w:rFonts w:ascii="楷体" w:hAnsi="楷体" w:eastAsia="楷体"/>
          <w:sz w:val="24"/>
        </w:rPr>
        <w:t>0.1</w:t>
      </w:r>
      <w:r>
        <w:rPr>
          <w:rFonts w:hint="eastAsia" w:ascii="楷体" w:hAnsi="楷体" w:eastAsia="楷体"/>
          <w:sz w:val="24"/>
        </w:rPr>
        <w:t>分</w:t>
      </w:r>
      <w:r>
        <w:rPr>
          <w:rFonts w:hint="eastAsia" w:ascii="楷体" w:hAnsi="楷体" w:eastAsia="楷体"/>
          <w:sz w:val="24"/>
          <w:lang w:eastAsia="zh-CN"/>
        </w:rPr>
        <w:t>。</w:t>
      </w:r>
    </w:p>
    <w:p>
      <w:pPr>
        <w:ind w:left="-840" w:leftChars="-400" w:right="-512" w:rightChars="-244" w:firstLine="492" w:firstLineChars="175"/>
        <w:jc w:val="left"/>
        <w:rPr>
          <w:rFonts w:hint="eastAsia" w:ascii="仿宋" w:hAnsi="仿宋" w:eastAsia="仿宋" w:cs="仿宋"/>
          <w:b/>
          <w:bCs/>
          <w:sz w:val="24"/>
          <w:szCs w:val="24"/>
          <w:lang w:val="en-US" w:eastAsia="zh-CN"/>
        </w:rPr>
      </w:pPr>
      <w:r>
        <w:rPr>
          <w:rFonts w:hint="eastAsia" w:ascii="仿宋" w:hAnsi="仿宋" w:eastAsia="仿宋" w:cs="仿宋"/>
          <w:b/>
          <w:bCs/>
          <w:sz w:val="28"/>
          <w:szCs w:val="28"/>
          <w:lang w:val="en-US" w:eastAsia="zh-CN"/>
        </w:rPr>
        <w:t>（2）科研项目加分标准</w:t>
      </w:r>
    </w:p>
    <w:tbl>
      <w:tblPr>
        <w:tblStyle w:val="2"/>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5"/>
        <w:gridCol w:w="965"/>
        <w:gridCol w:w="816"/>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5"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项目名称</w:t>
            </w:r>
          </w:p>
        </w:tc>
        <w:tc>
          <w:tcPr>
            <w:tcW w:w="965"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级别</w:t>
            </w:r>
          </w:p>
        </w:tc>
        <w:tc>
          <w:tcPr>
            <w:tcW w:w="81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加分</w:t>
            </w:r>
          </w:p>
        </w:tc>
        <w:tc>
          <w:tcPr>
            <w:tcW w:w="2629"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5" w:type="dxa"/>
            <w:vAlign w:val="center"/>
          </w:tcPr>
          <w:p>
            <w:pPr>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国家大学生创新创业训练计划项目</w:t>
            </w:r>
            <w:r>
              <w:rPr>
                <w:rFonts w:hint="eastAsia" w:ascii="仿宋" w:hAnsi="仿宋" w:eastAsia="仿宋" w:cs="仿宋"/>
                <w:color w:val="000000"/>
                <w:kern w:val="0"/>
                <w:sz w:val="24"/>
                <w:lang w:val="en-US" w:eastAsia="zh-CN"/>
              </w:rPr>
              <w:t>等等国家级科研项目</w:t>
            </w:r>
          </w:p>
        </w:tc>
        <w:tc>
          <w:tcPr>
            <w:tcW w:w="965"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国家级</w:t>
            </w:r>
          </w:p>
        </w:tc>
        <w:tc>
          <w:tcPr>
            <w:tcW w:w="81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2629" w:type="dxa"/>
            <w:vMerge w:val="restart"/>
            <w:vAlign w:val="center"/>
          </w:tcPr>
          <w:p>
            <w:pPr>
              <w:numPr>
                <w:ilvl w:val="0"/>
                <w:numId w:val="2"/>
              </w:numPr>
              <w:jc w:val="left"/>
              <w:rPr>
                <w:rFonts w:hint="eastAsia" w:ascii="仿宋" w:hAnsi="仿宋" w:eastAsia="仿宋" w:cs="仿宋"/>
                <w:color w:val="000000"/>
                <w:kern w:val="0"/>
                <w:sz w:val="24"/>
              </w:rPr>
            </w:pPr>
            <w:r>
              <w:rPr>
                <w:rFonts w:hint="eastAsia" w:ascii="仿宋" w:hAnsi="仿宋" w:eastAsia="仿宋" w:cs="仿宋"/>
                <w:color w:val="000000"/>
                <w:kern w:val="0"/>
                <w:sz w:val="24"/>
              </w:rPr>
              <w:t>已结题科研项目方可加分。2.学生为第一负责人获得其他省级以上科研项目立项的，经学院评奖工作领导小组认定后加分。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695" w:type="dxa"/>
            <w:vAlign w:val="center"/>
          </w:tcPr>
          <w:p>
            <w:pPr>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浙江省大学生科技创新活动计划暨新苗人才计划</w:t>
            </w:r>
            <w:r>
              <w:rPr>
                <w:rFonts w:hint="eastAsia" w:ascii="仿宋" w:hAnsi="仿宋" w:eastAsia="仿宋" w:cs="仿宋"/>
                <w:color w:val="000000"/>
                <w:kern w:val="0"/>
                <w:sz w:val="24"/>
                <w:lang w:val="en-US" w:eastAsia="zh-CN"/>
              </w:rPr>
              <w:t>等省市级科研项目</w:t>
            </w:r>
          </w:p>
        </w:tc>
        <w:tc>
          <w:tcPr>
            <w:tcW w:w="965"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省</w:t>
            </w: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级</w:t>
            </w:r>
          </w:p>
        </w:tc>
        <w:tc>
          <w:tcPr>
            <w:tcW w:w="81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2629" w:type="dxa"/>
            <w:vMerge w:val="continue"/>
            <w:vAlign w:val="center"/>
          </w:tcPr>
          <w:p>
            <w:pPr>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5" w:type="dxa"/>
            <w:vAlign w:val="center"/>
          </w:tcPr>
          <w:p>
            <w:pPr>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本科生创新能力提升工程</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星光计划、研究生科研创新推进项目</w:t>
            </w:r>
            <w:r>
              <w:rPr>
                <w:rFonts w:hint="eastAsia" w:ascii="仿宋" w:hAnsi="仿宋" w:eastAsia="仿宋" w:cs="仿宋"/>
                <w:color w:val="000000"/>
                <w:kern w:val="0"/>
                <w:sz w:val="24"/>
                <w:lang w:val="en-US" w:eastAsia="zh-CN"/>
              </w:rPr>
              <w:t>等校级科研项目</w:t>
            </w:r>
          </w:p>
        </w:tc>
        <w:tc>
          <w:tcPr>
            <w:tcW w:w="965"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校级</w:t>
            </w:r>
          </w:p>
        </w:tc>
        <w:tc>
          <w:tcPr>
            <w:tcW w:w="81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0.5</w:t>
            </w:r>
          </w:p>
        </w:tc>
        <w:tc>
          <w:tcPr>
            <w:tcW w:w="2629" w:type="dxa"/>
            <w:vMerge w:val="continue"/>
            <w:vAlign w:val="center"/>
          </w:tcPr>
          <w:p>
            <w:pPr>
              <w:jc w:val="left"/>
              <w:rPr>
                <w:rFonts w:hint="eastAsia" w:ascii="仿宋" w:hAnsi="仿宋" w:eastAsia="仿宋" w:cs="仿宋"/>
                <w:color w:val="000000"/>
                <w:kern w:val="0"/>
                <w:sz w:val="24"/>
              </w:rPr>
            </w:pPr>
          </w:p>
        </w:tc>
      </w:tr>
    </w:tbl>
    <w:p>
      <w:pPr>
        <w:ind w:right="-512" w:rightChars="-244"/>
        <w:jc w:val="left"/>
        <w:rPr>
          <w:rFonts w:hint="default" w:ascii="仿宋" w:hAnsi="仿宋" w:eastAsia="仿宋" w:cs="仿宋"/>
          <w:color w:val="000000"/>
          <w:kern w:val="0"/>
          <w:sz w:val="28"/>
          <w:szCs w:val="28"/>
          <w:lang w:val="en-US" w:eastAsia="zh-CN"/>
        </w:rPr>
      </w:pPr>
      <w:r>
        <w:rPr>
          <w:rFonts w:hint="eastAsia" w:ascii="楷体" w:hAnsi="楷体" w:eastAsia="楷体"/>
          <w:sz w:val="24"/>
          <w:highlight w:val="none"/>
          <w:lang w:eastAsia="zh-Hans"/>
        </w:rPr>
        <w:t>注：</w:t>
      </w:r>
      <w:r>
        <w:rPr>
          <w:rFonts w:hint="eastAsia" w:ascii="楷体" w:hAnsi="楷体" w:eastAsia="楷体"/>
          <w:sz w:val="24"/>
          <w:highlight w:val="none"/>
        </w:rPr>
        <w:t>学术论文、学科竞赛、科研项目</w:t>
      </w:r>
      <w:r>
        <w:rPr>
          <w:rFonts w:hint="eastAsia" w:ascii="楷体" w:hAnsi="楷体" w:eastAsia="楷体"/>
          <w:sz w:val="24"/>
          <w:highlight w:val="none"/>
          <w:lang w:eastAsia="zh-Hans"/>
        </w:rPr>
        <w:t>、专利等</w:t>
      </w:r>
      <w:r>
        <w:rPr>
          <w:rFonts w:hint="eastAsia" w:ascii="楷体" w:hAnsi="楷体" w:eastAsia="楷体"/>
          <w:sz w:val="24"/>
          <w:highlight w:val="none"/>
        </w:rPr>
        <w:t>为多人合作完成时，加分标准为：第一作者/第一负责人按100%得分，作为参与者（共一也是作为参与者）：排名在前3位按40%得分，排名第4位及以后按10%得分。</w:t>
      </w:r>
      <w:r>
        <w:rPr>
          <w:rFonts w:hint="eastAsia" w:ascii="楷体" w:hAnsi="楷体" w:eastAsia="楷体"/>
          <w:b/>
          <w:bCs/>
          <w:sz w:val="24"/>
          <w:szCs w:val="24"/>
          <w:lang w:val="en-US" w:eastAsia="zh-CN"/>
        </w:rPr>
        <w:t>（该排序去除研究生后，只看本科生顺序）</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default" w:ascii="仿宋" w:hAnsi="仿宋" w:eastAsia="仿宋" w:cs="仿宋"/>
          <w:b/>
          <w:bCs/>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216E38-E516-42FC-BF97-0680E0FC05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23F7DF1-77C9-4E7D-A9CF-C6B3445A66D0}"/>
  </w:font>
  <w:font w:name="仿宋">
    <w:panose1 w:val="02010609060101010101"/>
    <w:charset w:val="86"/>
    <w:family w:val="auto"/>
    <w:pitch w:val="default"/>
    <w:sig w:usb0="800002BF" w:usb1="38CF7CFA" w:usb2="00000016" w:usb3="00000000" w:csb0="00040001" w:csb1="00000000"/>
    <w:embedRegular r:id="rId3" w:fontKey="{BD24E519-F2F2-4B15-BFB3-F0D593D8140C}"/>
  </w:font>
  <w:font w:name="楷体">
    <w:panose1 w:val="02010609060101010101"/>
    <w:charset w:val="86"/>
    <w:family w:val="modern"/>
    <w:pitch w:val="default"/>
    <w:sig w:usb0="800002BF" w:usb1="38CF7CFA" w:usb2="00000016" w:usb3="00000000" w:csb0="00040001" w:csb1="00000000"/>
    <w:embedRegular r:id="rId4" w:fontKey="{7A9189F9-4FF8-490B-A1CE-4978F308693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00EE8"/>
    <w:multiLevelType w:val="singleLevel"/>
    <w:tmpl w:val="D1400EE8"/>
    <w:lvl w:ilvl="0" w:tentative="0">
      <w:start w:val="1"/>
      <w:numFmt w:val="decimal"/>
      <w:lvlText w:val="%1."/>
      <w:lvlJc w:val="left"/>
      <w:pPr>
        <w:tabs>
          <w:tab w:val="left" w:pos="312"/>
        </w:tabs>
      </w:pPr>
    </w:lvl>
  </w:abstractNum>
  <w:abstractNum w:abstractNumId="1">
    <w:nsid w:val="DBEF248D"/>
    <w:multiLevelType w:val="singleLevel"/>
    <w:tmpl w:val="DBEF248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jMxMDc5MWRhOTYwODcwOTFhZGZiZjY5ZGVhZGEifQ=="/>
  </w:docVars>
  <w:rsids>
    <w:rsidRoot w:val="00000000"/>
    <w:rsid w:val="01CF3F44"/>
    <w:rsid w:val="03FF60FC"/>
    <w:rsid w:val="19CF5D60"/>
    <w:rsid w:val="233B037C"/>
    <w:rsid w:val="280E42B1"/>
    <w:rsid w:val="29BF3AB4"/>
    <w:rsid w:val="2BDF3308"/>
    <w:rsid w:val="3F640B0B"/>
    <w:rsid w:val="455C26A8"/>
    <w:rsid w:val="480F19A9"/>
    <w:rsid w:val="4FF260E2"/>
    <w:rsid w:val="51A42D0B"/>
    <w:rsid w:val="52351606"/>
    <w:rsid w:val="56DF0A43"/>
    <w:rsid w:val="58233A9D"/>
    <w:rsid w:val="59253085"/>
    <w:rsid w:val="5FBE38EB"/>
    <w:rsid w:val="646B1B68"/>
    <w:rsid w:val="6FFB6495"/>
    <w:rsid w:val="743261FE"/>
    <w:rsid w:val="7B172969"/>
    <w:rsid w:val="7D0F2D4A"/>
    <w:rsid w:val="7D16490F"/>
    <w:rsid w:val="7D6E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2023-10-22T13:07:00Z</dcterms:created>
  <dc:creator>1</dc:creator>
  <cp:lastModifiedBy>陈佳瀛</cp:lastModifiedBy>
  <dcterms:modified xsi:type="dcterms:W3CDTF">2023-10-25T05:46:59Z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0F1438996CAC4AF8AE07F348E20BCF14_12</vt:lpwstr>
  </property>
</Properties>
</file>