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center"/>
        <w:outlineLvl w:val="0"/>
        <w:rPr>
          <w:rFonts w:ascii="黑体" w:hAnsi="黑体" w:eastAsia="黑体" w:cs="黑体"/>
          <w:b/>
          <w:color w:val="auto"/>
          <w:kern w:val="2"/>
          <w:sz w:val="36"/>
          <w:szCs w:val="36"/>
        </w:rPr>
      </w:pPr>
      <w:r>
        <w:rPr>
          <w:rFonts w:hint="default" w:ascii="黑体" w:hAnsi="黑体" w:eastAsia="黑体" w:cs="黑体"/>
          <w:b/>
          <w:color w:val="auto"/>
          <w:kern w:val="2"/>
          <w:sz w:val="36"/>
          <w:szCs w:val="36"/>
        </w:rPr>
        <w:t>药学院</w:t>
      </w:r>
      <w:r>
        <w:rPr>
          <w:rFonts w:hint="eastAsia" w:ascii="黑体" w:hAnsi="黑体" w:eastAsia="黑体" w:cs="黑体"/>
          <w:b/>
          <w:color w:val="auto"/>
          <w:kern w:val="2"/>
          <w:sz w:val="36"/>
          <w:szCs w:val="36"/>
        </w:rPr>
        <w:t>教师课外育人工作考核办法实施细则</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为进一步贯彻落实全国、全省高校思想政治工作会议精神，强化教师在育人工作中的职责和任务，形成“全员育人、全过程育人、全方位育人”的工作格局，现结合</w:t>
      </w:r>
      <w:r>
        <w:rPr>
          <w:rFonts w:hint="eastAsia" w:ascii="仿宋_GB2312" w:hAnsi="仿宋_GB2312" w:eastAsia="仿宋_GB2312" w:cs="仿宋_GB2312"/>
          <w:color w:val="000000"/>
          <w:sz w:val="32"/>
          <w:szCs w:val="32"/>
          <w:lang w:bidi="ar"/>
        </w:rPr>
        <w:t>《杭州师范大学教师课外育人工作考核办法（试行）》及</w:t>
      </w:r>
      <w:r>
        <w:rPr>
          <w:rFonts w:ascii="仿宋_GB2312" w:hAnsi="仿宋_GB2312" w:eastAsia="仿宋_GB2312" w:cs="仿宋_GB2312"/>
          <w:color w:val="000000"/>
          <w:sz w:val="32"/>
          <w:szCs w:val="32"/>
          <w:lang w:bidi="ar"/>
        </w:rPr>
        <w:t>学院工作实际，特制定本办法。</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一、考核对象</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default" w:ascii="仿宋_GB2312" w:hAnsi="仿宋_GB2312" w:eastAsia="仿宋_GB2312" w:cs="仿宋_GB2312"/>
          <w:color w:val="000000"/>
          <w:sz w:val="32"/>
          <w:szCs w:val="32"/>
          <w:lang w:bidi="ar"/>
        </w:rPr>
        <w:t>药学院</w:t>
      </w:r>
      <w:r>
        <w:rPr>
          <w:rFonts w:ascii="仿宋_GB2312" w:hAnsi="仿宋_GB2312" w:eastAsia="仿宋_GB2312" w:cs="仿宋_GB2312"/>
          <w:color w:val="000000"/>
          <w:sz w:val="32"/>
          <w:szCs w:val="32"/>
          <w:lang w:bidi="ar"/>
        </w:rPr>
        <w:t>在编在岗的全体专任教师、一线专职辅导员和科研人员。</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二、考核内容</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本办法所指的课外育人工作是为了实现育人目标，教师在第一课堂课程育人外，承担一定形式的工作，对全日制学生进行的教育教学活动。内容包括：</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（一）学生班主任；</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（二）兼职辅导员；</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（三）本科学生综合导师；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（四）研究生导师；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（五）学生党支部书记；</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（六）学生社团指导教师；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（七）学生社会实践活动指导教师；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highlight w:val="yellow"/>
          <w:lang w:bidi="ar"/>
        </w:rPr>
      </w:pPr>
      <w:r>
        <w:rPr>
          <w:rFonts w:ascii="仿宋_GB2312" w:hAnsi="仿宋_GB2312" w:eastAsia="仿宋_GB2312" w:cs="仿宋_GB2312"/>
          <w:color w:val="000000"/>
          <w:sz w:val="32"/>
          <w:szCs w:val="32"/>
          <w:highlight w:val="yellow"/>
          <w:lang w:bidi="ar"/>
        </w:rPr>
        <w:t>（八）学生竞赛活动指导教师；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highlight w:val="yellow"/>
          <w:lang w:bidi="ar"/>
        </w:rPr>
      </w:pPr>
      <w:r>
        <w:rPr>
          <w:rFonts w:ascii="仿宋_GB2312" w:hAnsi="仿宋_GB2312" w:eastAsia="仿宋_GB2312" w:cs="仿宋_GB2312"/>
          <w:color w:val="000000"/>
          <w:sz w:val="32"/>
          <w:szCs w:val="32"/>
          <w:highlight w:val="yellow"/>
          <w:lang w:bidi="ar"/>
        </w:rPr>
        <w:t>（九）学生创新创业活动指导教师；</w:t>
      </w:r>
      <w:bookmarkStart w:id="0" w:name="_GoBack"/>
      <w:bookmarkEnd w:id="0"/>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（十）党、团校培训或思政教育专题报告、沙龙等的主讲教师；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（十一）学生非教学活动的评审或指导工作；</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（十二）学院根据实际需要设定的其他育人工作。</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三、等级设定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教师课外育人工作考核结果分优秀、合格、不合格三个等级，一线专职辅导员按比例单列考核。</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（一）优秀：年度考核育人工作量满 30分，指导学生获突出成绩，学生反响好。比例不超过考核总人数的 20%。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（二）合格：年度考核育人工作量满10 分，工作认真负责。承担公共课程或没有本科学生的学院（部）可根据实际情况适当减轻工作量要求。</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（三）不合格：年度考核育人工作量未满 10分，或在育人工作中有不当言行，产生恶劣影响的。</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四、结果使用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教师课外育人工作考核结果纳入教师年度工作考核，并作为教师专业技术职务晋升和评奖评优的基本依据之一。申请专业技术职务晋升的教师，任现职以来育人工作考核至少有一次优秀；三年内育人工作考核有不合格的教师，原则上在职称晋升和评奖评优时“一票否决”。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（二）教师课外育人工作考核结果作为教师岗位聘任的基本依据之一，同等条件下，育人工作考核优秀的教师优先聘岗，对聘期内 2 次及以上考核不合格的教师，实行降档聘任。</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五、组织实施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（一）教师课外育人工作考核与教师年度考核同时进行，结果纳入教师年度考核。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w:t>
      </w:r>
      <w:r>
        <w:rPr>
          <w:rFonts w:hint="default" w:ascii="仿宋_GB2312" w:hAnsi="仿宋_GB2312" w:eastAsia="仿宋_GB2312" w:cs="仿宋_GB2312"/>
          <w:color w:val="000000"/>
          <w:sz w:val="32"/>
          <w:szCs w:val="32"/>
          <w:lang w:bidi="ar"/>
        </w:rPr>
        <w:t>药学院</w:t>
      </w:r>
      <w:r>
        <w:rPr>
          <w:rFonts w:hint="eastAsia" w:ascii="仿宋_GB2312" w:hAnsi="仿宋_GB2312" w:eastAsia="仿宋_GB2312" w:cs="仿宋_GB2312"/>
          <w:color w:val="000000"/>
          <w:sz w:val="32"/>
          <w:szCs w:val="32"/>
          <w:lang w:bidi="ar"/>
        </w:rPr>
        <w:t>成立教师课外育人工作考核小组，由</w:t>
      </w:r>
      <w:r>
        <w:rPr>
          <w:rFonts w:hint="default" w:ascii="仿宋_GB2312" w:hAnsi="仿宋_GB2312" w:eastAsia="仿宋_GB2312" w:cs="仿宋_GB2312"/>
          <w:color w:val="000000"/>
          <w:sz w:val="32"/>
          <w:szCs w:val="32"/>
          <w:lang w:bidi="ar"/>
        </w:rPr>
        <w:t>学院党总支</w:t>
      </w:r>
      <w:r>
        <w:rPr>
          <w:rFonts w:hint="eastAsia" w:ascii="仿宋_GB2312" w:hAnsi="仿宋_GB2312" w:eastAsia="仿宋_GB2312" w:cs="仿宋_GB2312"/>
          <w:color w:val="000000"/>
          <w:sz w:val="32"/>
          <w:szCs w:val="32"/>
          <w:lang w:bidi="ar"/>
        </w:rPr>
        <w:t>书记任组长，党政办、学科办、教务科、学工办、</w:t>
      </w:r>
      <w:r>
        <w:rPr>
          <w:rFonts w:ascii="仿宋_GB2312" w:hAnsi="仿宋_GB2312" w:eastAsia="仿宋_GB2312" w:cs="仿宋_GB2312"/>
          <w:color w:val="000000"/>
          <w:sz w:val="32"/>
          <w:szCs w:val="32"/>
          <w:lang w:bidi="ar"/>
        </w:rPr>
        <w:t>团委</w:t>
      </w: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工会</w:t>
      </w:r>
      <w:r>
        <w:rPr>
          <w:rFonts w:hint="eastAsia" w:ascii="仿宋_GB2312" w:hAnsi="仿宋_GB2312" w:eastAsia="仿宋_GB2312" w:cs="仿宋_GB2312"/>
          <w:color w:val="000000"/>
          <w:sz w:val="32"/>
          <w:szCs w:val="32"/>
          <w:lang w:bidi="ar"/>
        </w:rPr>
        <w:t>等部门主要负责人组成，办公室设在学工办，具体负责</w:t>
      </w:r>
      <w:r>
        <w:rPr>
          <w:rFonts w:hint="default" w:ascii="仿宋_GB2312" w:hAnsi="仿宋_GB2312" w:eastAsia="仿宋_GB2312" w:cs="仿宋_GB2312"/>
          <w:color w:val="000000"/>
          <w:sz w:val="32"/>
          <w:szCs w:val="32"/>
          <w:lang w:bidi="ar"/>
        </w:rPr>
        <w:t>学院</w:t>
      </w:r>
      <w:r>
        <w:rPr>
          <w:rFonts w:hint="eastAsia" w:ascii="仿宋_GB2312" w:hAnsi="仿宋_GB2312" w:eastAsia="仿宋_GB2312" w:cs="仿宋_GB2312"/>
          <w:color w:val="000000"/>
          <w:sz w:val="32"/>
          <w:szCs w:val="32"/>
          <w:lang w:bidi="ar"/>
        </w:rPr>
        <w:t xml:space="preserve">教师的育人工作考核。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（三）本办法自发布之日起实施，由学工办负责解释。</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p>
    <w:p>
      <w:pPr>
        <w:pStyle w:val="4"/>
        <w:widowControl/>
        <w:snapToGrid w:val="0"/>
        <w:spacing w:before="0" w:beforeAutospacing="0" w:after="0" w:afterAutospacing="0" w:line="540" w:lineRule="exact"/>
        <w:rPr>
          <w:rFonts w:ascii="楷体" w:hAnsi="楷体" w:eastAsia="楷体" w:cs="仿宋_GB2312"/>
          <w:color w:val="000000"/>
          <w:sz w:val="32"/>
          <w:szCs w:val="32"/>
          <w:lang w:bidi="ar"/>
        </w:rPr>
      </w:pPr>
      <w:r>
        <w:rPr>
          <w:rFonts w:hint="eastAsia" w:ascii="楷体" w:hAnsi="楷体" w:eastAsia="楷体" w:cs="仿宋_GB2312"/>
          <w:color w:val="000000"/>
          <w:sz w:val="32"/>
          <w:szCs w:val="32"/>
          <w:lang w:bidi="ar"/>
        </w:rPr>
        <w:t>附件：</w:t>
      </w:r>
      <w:r>
        <w:rPr>
          <w:rFonts w:hint="default" w:ascii="楷体" w:hAnsi="楷体" w:eastAsia="楷体" w:cs="仿宋_GB2312"/>
          <w:color w:val="000000"/>
          <w:sz w:val="32"/>
          <w:szCs w:val="32"/>
          <w:lang w:bidi="ar"/>
        </w:rPr>
        <w:t>药学院</w:t>
      </w:r>
      <w:r>
        <w:rPr>
          <w:rFonts w:hint="eastAsia" w:ascii="楷体" w:hAnsi="楷体" w:eastAsia="楷体" w:cs="仿宋_GB2312"/>
          <w:color w:val="000000"/>
          <w:sz w:val="32"/>
          <w:szCs w:val="32"/>
          <w:lang w:bidi="ar"/>
        </w:rPr>
        <w:t>课外育人工作工作量计算及考核要求</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p>
    <w:p>
      <w:pPr>
        <w:spacing w:line="540" w:lineRule="exact"/>
        <w:ind w:firstLine="640" w:firstLineChars="200"/>
        <w:jc w:val="right"/>
        <w:rPr>
          <w:rFonts w:ascii="仿宋" w:hAnsi="仿宋" w:eastAsia="仿宋"/>
          <w:bCs/>
          <w:kern w:val="0"/>
          <w:sz w:val="32"/>
          <w:szCs w:val="32"/>
        </w:rPr>
      </w:pPr>
      <w:r>
        <w:rPr>
          <w:rFonts w:hint="eastAsia" w:ascii="仿宋" w:hAnsi="仿宋" w:eastAsia="仿宋"/>
          <w:bCs/>
          <w:kern w:val="0"/>
          <w:sz w:val="32"/>
          <w:szCs w:val="32"/>
        </w:rPr>
        <w:t>中共杭州师范大学</w:t>
      </w:r>
      <w:r>
        <w:rPr>
          <w:rFonts w:hint="default" w:ascii="仿宋" w:hAnsi="仿宋" w:eastAsia="仿宋"/>
          <w:bCs/>
          <w:kern w:val="0"/>
          <w:sz w:val="32"/>
          <w:szCs w:val="32"/>
        </w:rPr>
        <w:t>药学院总支部</w:t>
      </w:r>
      <w:r>
        <w:rPr>
          <w:rFonts w:hint="eastAsia" w:ascii="仿宋" w:hAnsi="仿宋" w:eastAsia="仿宋"/>
          <w:bCs/>
          <w:kern w:val="0"/>
          <w:sz w:val="32"/>
          <w:szCs w:val="32"/>
        </w:rPr>
        <w:t>委员会</w:t>
      </w:r>
    </w:p>
    <w:p>
      <w:pPr>
        <w:widowControl/>
        <w:wordWrap w:val="0"/>
        <w:spacing w:line="540" w:lineRule="exact"/>
        <w:ind w:firstLine="640" w:firstLineChars="200"/>
        <w:jc w:val="right"/>
        <w:rPr>
          <w:rFonts w:ascii="仿宋" w:hAnsi="仿宋" w:eastAsia="仿宋"/>
          <w:bCs/>
          <w:kern w:val="0"/>
          <w:sz w:val="32"/>
          <w:szCs w:val="32"/>
        </w:rPr>
      </w:pPr>
      <w:r>
        <w:rPr>
          <w:rFonts w:hint="eastAsia" w:ascii="仿宋" w:hAnsi="仿宋" w:eastAsia="仿宋"/>
          <w:bCs/>
          <w:kern w:val="0"/>
          <w:sz w:val="32"/>
          <w:szCs w:val="32"/>
        </w:rPr>
        <w:t>杭州师范大学</w:t>
      </w:r>
      <w:r>
        <w:rPr>
          <w:rFonts w:hint="default" w:ascii="仿宋" w:hAnsi="仿宋" w:eastAsia="仿宋"/>
          <w:bCs/>
          <w:kern w:val="0"/>
          <w:sz w:val="32"/>
          <w:szCs w:val="32"/>
        </w:rPr>
        <w:t>药学院</w:t>
      </w:r>
      <w:r>
        <w:rPr>
          <w:rFonts w:hint="eastAsia" w:ascii="仿宋" w:hAnsi="仿宋" w:eastAsia="仿宋"/>
          <w:bCs/>
          <w:kern w:val="0"/>
          <w:sz w:val="32"/>
          <w:szCs w:val="32"/>
        </w:rPr>
        <w:t xml:space="preserve">  </w:t>
      </w:r>
    </w:p>
    <w:p>
      <w:pPr>
        <w:widowControl/>
        <w:wordWrap w:val="0"/>
        <w:spacing w:line="540" w:lineRule="exact"/>
        <w:ind w:firstLine="640" w:firstLineChars="200"/>
        <w:jc w:val="right"/>
        <w:rPr>
          <w:rFonts w:ascii="黑体" w:hAnsi="黑体" w:eastAsia="黑体"/>
          <w:kern w:val="0"/>
          <w:sz w:val="32"/>
          <w:szCs w:val="32"/>
        </w:rPr>
      </w:pPr>
      <w:r>
        <w:rPr>
          <w:rFonts w:hint="eastAsia" w:ascii="仿宋" w:hAnsi="仿宋" w:eastAsia="仿宋"/>
          <w:bCs/>
          <w:kern w:val="0"/>
          <w:sz w:val="32"/>
          <w:szCs w:val="32"/>
        </w:rPr>
        <w:t>202</w:t>
      </w:r>
      <w:r>
        <w:rPr>
          <w:rFonts w:hint="default" w:ascii="仿宋" w:hAnsi="仿宋" w:eastAsia="仿宋"/>
          <w:bCs/>
          <w:kern w:val="0"/>
          <w:sz w:val="32"/>
          <w:szCs w:val="32"/>
        </w:rPr>
        <w:t>1</w:t>
      </w:r>
      <w:r>
        <w:rPr>
          <w:rFonts w:hint="eastAsia" w:ascii="仿宋" w:hAnsi="仿宋" w:eastAsia="仿宋"/>
          <w:bCs/>
          <w:kern w:val="0"/>
          <w:sz w:val="32"/>
          <w:szCs w:val="32"/>
        </w:rPr>
        <w:t>年</w:t>
      </w:r>
      <w:r>
        <w:rPr>
          <w:rFonts w:hint="default" w:ascii="仿宋" w:hAnsi="仿宋" w:eastAsia="仿宋"/>
          <w:bCs/>
          <w:kern w:val="0"/>
          <w:sz w:val="32"/>
          <w:szCs w:val="32"/>
        </w:rPr>
        <w:t>09</w:t>
      </w:r>
      <w:r>
        <w:rPr>
          <w:rFonts w:hint="eastAsia" w:ascii="仿宋" w:hAnsi="仿宋" w:eastAsia="仿宋"/>
          <w:bCs/>
          <w:kern w:val="0"/>
          <w:sz w:val="32"/>
          <w:szCs w:val="32"/>
        </w:rPr>
        <w:t>月</w:t>
      </w:r>
      <w:r>
        <w:rPr>
          <w:rFonts w:hint="default" w:ascii="仿宋" w:hAnsi="仿宋" w:eastAsia="仿宋"/>
          <w:bCs/>
          <w:kern w:val="0"/>
          <w:sz w:val="32"/>
          <w:szCs w:val="32"/>
        </w:rPr>
        <w:t>01</w:t>
      </w:r>
      <w:r>
        <w:rPr>
          <w:rFonts w:hint="eastAsia" w:ascii="仿宋" w:hAnsi="仿宋" w:eastAsia="仿宋"/>
          <w:bCs/>
          <w:kern w:val="0"/>
          <w:sz w:val="32"/>
          <w:szCs w:val="32"/>
        </w:rPr>
        <w:t xml:space="preserve">日   </w:t>
      </w:r>
    </w:p>
    <w:p>
      <w:pPr>
        <w:pStyle w:val="35"/>
        <w:spacing w:line="360" w:lineRule="auto"/>
        <w:rPr>
          <w:rFonts w:ascii="黑体" w:eastAsia="黑体" w:cs="黑体"/>
          <w:color w:val="000000" w:themeColor="text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黑体" w:eastAsia="黑体" w:cs="黑体"/>
          <w:color w:val="000000" w:themeColor="text1"/>
          <w14:textFill>
            <w14:solidFill>
              <w14:schemeClr w14:val="tx1"/>
            </w14:solidFill>
          </w14:textFill>
        </w:rPr>
        <w:t xml:space="preserve"> </w:t>
      </w:r>
    </w:p>
    <w:p>
      <w:pPr>
        <w:pStyle w:val="35"/>
        <w:spacing w:line="360" w:lineRule="auto"/>
        <w:rPr>
          <w:rFonts w:ascii="黑体" w:eastAsia="黑体" w:cs="黑体"/>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spacing w:line="360" w:lineRule="auto"/>
        <w:jc w:val="left"/>
        <w:outlineLvl w:val="1"/>
        <w:rPr>
          <w:rFonts w:ascii="仿宋" w:hAnsi="仿宋" w:eastAsia="仿宋"/>
          <w:b/>
          <w:sz w:val="32"/>
          <w:szCs w:val="31"/>
        </w:rPr>
      </w:pPr>
      <w:r>
        <w:rPr>
          <w:rFonts w:hint="eastAsia" w:ascii="仿宋" w:hAnsi="仿宋" w:eastAsia="仿宋"/>
          <w:b/>
          <w:sz w:val="32"/>
          <w:szCs w:val="31"/>
        </w:rPr>
        <w:t>附件：</w:t>
      </w:r>
    </w:p>
    <w:p>
      <w:pPr>
        <w:spacing w:line="360" w:lineRule="auto"/>
        <w:jc w:val="center"/>
        <w:outlineLvl w:val="0"/>
        <w:rPr>
          <w:rFonts w:ascii="黑体" w:hAnsi="黑体" w:eastAsia="黑体"/>
          <w:b/>
          <w:sz w:val="36"/>
          <w:szCs w:val="31"/>
        </w:rPr>
      </w:pPr>
      <w:r>
        <w:rPr>
          <w:rFonts w:hint="default" w:ascii="黑体" w:hAnsi="黑体" w:eastAsia="黑体"/>
          <w:b/>
          <w:sz w:val="36"/>
          <w:szCs w:val="31"/>
        </w:rPr>
        <w:t>药学院</w:t>
      </w:r>
      <w:r>
        <w:rPr>
          <w:rFonts w:hint="eastAsia" w:ascii="黑体" w:hAnsi="黑体" w:eastAsia="黑体"/>
          <w:b/>
          <w:sz w:val="36"/>
          <w:szCs w:val="31"/>
        </w:rPr>
        <w:t>课外育人工作</w:t>
      </w:r>
      <w:r>
        <w:rPr>
          <w:rFonts w:ascii="黑体" w:hAnsi="黑体" w:eastAsia="黑体"/>
          <w:b/>
          <w:sz w:val="36"/>
          <w:szCs w:val="31"/>
        </w:rPr>
        <w:t>工作量</w:t>
      </w:r>
      <w:r>
        <w:rPr>
          <w:rFonts w:hint="eastAsia" w:ascii="黑体" w:hAnsi="黑体" w:eastAsia="黑体"/>
          <w:b/>
          <w:sz w:val="36"/>
          <w:szCs w:val="31"/>
        </w:rPr>
        <w:t>计算及</w:t>
      </w:r>
      <w:r>
        <w:rPr>
          <w:rFonts w:ascii="黑体" w:hAnsi="黑体" w:eastAsia="黑体"/>
          <w:b/>
          <w:sz w:val="36"/>
          <w:szCs w:val="31"/>
        </w:rPr>
        <w:t>考核要求</w:t>
      </w:r>
    </w:p>
    <w:tbl>
      <w:tblPr>
        <w:tblStyle w:val="5"/>
        <w:tblpPr w:leftFromText="180" w:rightFromText="180" w:vertAnchor="text" w:tblpXSpec="center" w:tblpY="1"/>
        <w:tblOverlap w:val="never"/>
        <w:tblW w:w="15120" w:type="dxa"/>
        <w:tblInd w:w="0" w:type="dxa"/>
        <w:tblLayout w:type="fixed"/>
        <w:tblCellMar>
          <w:top w:w="0" w:type="dxa"/>
          <w:left w:w="108" w:type="dxa"/>
          <w:bottom w:w="0" w:type="dxa"/>
          <w:right w:w="108" w:type="dxa"/>
        </w:tblCellMar>
      </w:tblPr>
      <w:tblGrid>
        <w:gridCol w:w="1080"/>
        <w:gridCol w:w="1080"/>
        <w:gridCol w:w="3060"/>
        <w:gridCol w:w="1080"/>
        <w:gridCol w:w="3420"/>
        <w:gridCol w:w="1080"/>
        <w:gridCol w:w="1080"/>
        <w:gridCol w:w="1080"/>
        <w:gridCol w:w="1080"/>
        <w:gridCol w:w="1080"/>
      </w:tblGrid>
      <w:tr>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类别</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选聘要求</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等级</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考核要求</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分数</w:t>
            </w:r>
          </w:p>
        </w:tc>
        <w:tc>
          <w:tcPr>
            <w:tcW w:w="10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数据来源和主考部门</w:t>
            </w:r>
          </w:p>
        </w:tc>
        <w:tc>
          <w:tcPr>
            <w:tcW w:w="108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1770"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班主任</w:t>
            </w:r>
          </w:p>
        </w:tc>
        <w:tc>
          <w:tcPr>
            <w:tcW w:w="3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有坚定的政治立场，在政治上、思想上、行动上和党中央保持一致；以身作则，为人师表，热爱学生，做青年学生的良师益友。工作勤奋，具有较强的事业心和工作责任感，具备较强的组织协调、管理和语言文字能力，掌握青年工作的基本知识、方法和一般规律。自主报名与学院推荐相结合，具体以当年《</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班主任招聘通知》为准</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优秀</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班主任管理办法》中对班主任的各项工作要求；学生满意度评价在90分以上，学年班主任考核成绩为“优秀”。</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25</w:t>
            </w:r>
          </w:p>
        </w:tc>
        <w:tc>
          <w:tcPr>
            <w:tcW w:w="108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left"/>
              <w:rPr>
                <w:rFonts w:cs="宋体" w:asciiTheme="minorEastAsia" w:hAnsiTheme="minorEastAsia"/>
                <w:kern w:val="0"/>
                <w:sz w:val="22"/>
              </w:rPr>
            </w:pPr>
            <w:r>
              <w:rPr>
                <w:rFonts w:hint="eastAsia" w:cs="宋体" w:asciiTheme="minorEastAsia" w:hAnsiTheme="minorEastAsia"/>
                <w:kern w:val="0"/>
                <w:sz w:val="22"/>
              </w:rPr>
              <w:t>《杭州师范大学</w:t>
            </w:r>
            <w:r>
              <w:rPr>
                <w:rFonts w:hint="default" w:cs="宋体" w:asciiTheme="minorEastAsia" w:hAnsiTheme="minorEastAsia"/>
                <w:kern w:val="0"/>
                <w:sz w:val="22"/>
              </w:rPr>
              <w:t>药学院</w:t>
            </w:r>
            <w:r>
              <w:rPr>
                <w:rFonts w:hint="eastAsia" w:cs="宋体" w:asciiTheme="minorEastAsia" w:hAnsiTheme="minorEastAsia"/>
                <w:kern w:val="0"/>
                <w:sz w:val="22"/>
              </w:rPr>
              <w:t>班主任管理办法》</w:t>
            </w:r>
          </w:p>
        </w:tc>
      </w:tr>
      <w:tr>
        <w:tblPrEx>
          <w:tblCellMar>
            <w:top w:w="0" w:type="dxa"/>
            <w:left w:w="108" w:type="dxa"/>
            <w:bottom w:w="0" w:type="dxa"/>
            <w:right w:w="108" w:type="dxa"/>
          </w:tblCellMar>
        </w:tblPrEx>
        <w:trPr>
          <w:trHeight w:val="163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良好</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能基本完成《杭州师范大学</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班主任管理办法》中对班主任的各项工作要求；学生满意度评价在80分以上，每学期班主任考核成绩“良好”及以上。</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w:t>
            </w: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17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能完成《杭州师范大学</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班主任管理办法》中对班主任的大部分工作要求；学生满意度评价在70分以上，学年班主任考核成绩为“合格”及以上且至少有一个学期为“良好”及以上。</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15</w:t>
            </w: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4002" w:hRule="atLeast"/>
        </w:trPr>
        <w:tc>
          <w:tcPr>
            <w:tcW w:w="108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兼职辅导员</w:t>
            </w:r>
          </w:p>
        </w:tc>
        <w:tc>
          <w:tcPr>
            <w:tcW w:w="306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中共党员，具有坚定正确的政治方向，坚决维护党和国家的利益和学校的稳定。热爱学生工作，事业心和责任感强，品行端正，为人师表。具有较强的工作能力，具备一定组织管理、沟通协调和调查研究的能力。能够处理好本职工作和兼职辅导员工作关系，善于利用业余时间开展学生工作。自主报名与</w:t>
            </w:r>
            <w:r>
              <w:rPr>
                <w:rFonts w:hint="default" w:cs="宋体" w:asciiTheme="minorEastAsia" w:hAnsiTheme="minorEastAsia"/>
                <w:color w:val="000000"/>
                <w:kern w:val="0"/>
                <w:sz w:val="22"/>
              </w:rPr>
              <w:t>党总支</w:t>
            </w:r>
            <w:r>
              <w:rPr>
                <w:rFonts w:hint="eastAsia" w:cs="宋体" w:asciiTheme="minorEastAsia" w:hAnsiTheme="minorEastAsia"/>
                <w:color w:val="000000"/>
                <w:kern w:val="0"/>
                <w:sz w:val="22"/>
              </w:rPr>
              <w:t>推荐相结合，具体以当年《</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兼职辅导员招聘通知》为准</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能较好地完成《杭州师范大学兼职辅导员管理办法》中对兼职辅导员的各项工作要求。</w:t>
            </w:r>
          </w:p>
        </w:tc>
        <w:tc>
          <w:tcPr>
            <w:tcW w:w="3240"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w:t>
            </w:r>
          </w:p>
        </w:tc>
        <w:tc>
          <w:tcPr>
            <w:tcW w:w="108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《杭州师范大学兼职辅导员管理办法》</w:t>
            </w:r>
          </w:p>
        </w:tc>
      </w:tr>
      <w:tr>
        <w:tblPrEx>
          <w:tblCellMar>
            <w:top w:w="0" w:type="dxa"/>
            <w:left w:w="108" w:type="dxa"/>
            <w:bottom w:w="0" w:type="dxa"/>
            <w:right w:w="108" w:type="dxa"/>
          </w:tblCellMar>
        </w:tblPrEx>
        <w:trPr>
          <w:trHeight w:val="3418" w:hRule="atLeast"/>
        </w:trPr>
        <w:tc>
          <w:tcPr>
            <w:tcW w:w="1080" w:type="dxa"/>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本科生综合导师</w:t>
            </w:r>
          </w:p>
        </w:tc>
        <w:tc>
          <w:tcPr>
            <w:tcW w:w="306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了解学生的性格、兴趣、人格特质、生活与家庭状况，引导学生身心健康发展、培养健全人格，及时为经济、学习、心理等方面有困难的学生提供帮助，并主动与班主任、辅导员保持联系，积极协作。具体以当年《</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本科生综合导师招聘通知》为准。</w:t>
            </w:r>
            <w:r>
              <w:rPr>
                <w:rFonts w:hint="eastAsia" w:cs="宋体" w:asciiTheme="minorEastAsia" w:hAnsiTheme="minorEastAsia"/>
                <w:kern w:val="0"/>
                <w:sz w:val="22"/>
              </w:rPr>
              <w:t>原则上每位导师指导学生不超过12人。</w:t>
            </w:r>
          </w:p>
        </w:tc>
        <w:tc>
          <w:tcPr>
            <w:tcW w:w="108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每学期至少指导每个学生不少于4次。</w:t>
            </w:r>
          </w:p>
        </w:tc>
        <w:tc>
          <w:tcPr>
            <w:tcW w:w="3240"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2/人·年</w:t>
            </w:r>
          </w:p>
        </w:tc>
        <w:tc>
          <w:tcPr>
            <w:tcW w:w="1080" w:type="dxa"/>
            <w:tcBorders>
              <w:top w:val="single" w:color="auto" w:sz="4" w:space="0"/>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9" w:hRule="atLeast"/>
        </w:trPr>
        <w:tc>
          <w:tcPr>
            <w:tcW w:w="1080" w:type="dxa"/>
            <w:tcBorders>
              <w:top w:val="single" w:color="auto" w:sz="4" w:space="0"/>
              <w:left w:val="single" w:color="auto" w:sz="8" w:space="0"/>
              <w:bottom w:val="nil"/>
              <w:right w:val="single" w:color="auto" w:sz="8" w:space="0"/>
            </w:tcBorders>
            <w:shd w:val="clear" w:color="auto" w:fill="auto"/>
            <w:noWrap/>
            <w:vAlign w:val="center"/>
          </w:tcPr>
          <w:p>
            <w:pPr>
              <w:jc w:val="center"/>
              <w:rPr>
                <w:rFonts w:cs="宋体" w:asciiTheme="minorEastAsia" w:hAnsiTheme="minorEastAsia"/>
                <w:color w:val="000000"/>
                <w:kern w:val="0"/>
                <w:sz w:val="22"/>
              </w:rPr>
            </w:pPr>
          </w:p>
        </w:tc>
        <w:tc>
          <w:tcPr>
            <w:tcW w:w="1080" w:type="dxa"/>
            <w:tcBorders>
              <w:top w:val="single" w:color="auto" w:sz="4" w:space="0"/>
              <w:left w:val="nil"/>
              <w:bottom w:val="nil"/>
              <w:right w:val="single" w:color="auto" w:sz="8" w:space="0"/>
            </w:tcBorders>
            <w:shd w:val="clear" w:color="auto" w:fill="auto"/>
            <w:vAlign w:val="center"/>
          </w:tcPr>
          <w:p>
            <w:pPr>
              <w:jc w:val="center"/>
              <w:rPr>
                <w:rFonts w:cs="宋体" w:asciiTheme="minorEastAsia" w:hAnsiTheme="minorEastAsia"/>
                <w:color w:val="000000"/>
                <w:kern w:val="0"/>
                <w:sz w:val="22"/>
              </w:rPr>
            </w:pPr>
          </w:p>
        </w:tc>
        <w:tc>
          <w:tcPr>
            <w:tcW w:w="3060" w:type="dxa"/>
            <w:tcBorders>
              <w:top w:val="single" w:color="auto" w:sz="4" w:space="0"/>
              <w:left w:val="nil"/>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c>
          <w:tcPr>
            <w:tcW w:w="1080" w:type="dxa"/>
            <w:tcBorders>
              <w:top w:val="single" w:color="auto" w:sz="4" w:space="0"/>
              <w:left w:val="nil"/>
              <w:bottom w:val="nil"/>
              <w:right w:val="single" w:color="auto" w:sz="8" w:space="0"/>
            </w:tcBorders>
            <w:shd w:val="clear" w:color="auto" w:fill="auto"/>
            <w:noWrap/>
            <w:vAlign w:val="center"/>
          </w:tcPr>
          <w:p>
            <w:pPr>
              <w:jc w:val="center"/>
              <w:rPr>
                <w:rFonts w:cs="宋体" w:asciiTheme="minorEastAsia" w:hAnsiTheme="minorEastAsia"/>
                <w:color w:val="000000"/>
                <w:kern w:val="0"/>
                <w:sz w:val="22"/>
              </w:rPr>
            </w:pPr>
          </w:p>
        </w:tc>
        <w:tc>
          <w:tcPr>
            <w:tcW w:w="3420" w:type="dxa"/>
            <w:tcBorders>
              <w:top w:val="single" w:color="auto" w:sz="4" w:space="0"/>
              <w:left w:val="nil"/>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c>
          <w:tcPr>
            <w:tcW w:w="3240" w:type="dxa"/>
            <w:gridSpan w:val="3"/>
            <w:tcBorders>
              <w:top w:val="single" w:color="auto" w:sz="4" w:space="0"/>
              <w:left w:val="nil"/>
              <w:bottom w:val="nil"/>
              <w:right w:val="single" w:color="000000" w:sz="8" w:space="0"/>
            </w:tcBorders>
            <w:shd w:val="clear" w:color="auto" w:fill="auto"/>
            <w:noWrap/>
            <w:vAlign w:val="center"/>
          </w:tcPr>
          <w:p>
            <w:pPr>
              <w:jc w:val="center"/>
              <w:rPr>
                <w:rFonts w:cs="宋体" w:asciiTheme="minorEastAsia" w:hAnsiTheme="minorEastAsia"/>
                <w:color w:val="000000"/>
                <w:kern w:val="0"/>
                <w:sz w:val="22"/>
              </w:rPr>
            </w:pPr>
          </w:p>
        </w:tc>
        <w:tc>
          <w:tcPr>
            <w:tcW w:w="1080" w:type="dxa"/>
            <w:tcBorders>
              <w:top w:val="single" w:color="auto" w:sz="4" w:space="0"/>
              <w:left w:val="nil"/>
              <w:bottom w:val="nil"/>
              <w:right w:val="nil"/>
            </w:tcBorders>
            <w:shd w:val="clear" w:color="auto" w:fill="auto"/>
            <w:vAlign w:val="center"/>
          </w:tcPr>
          <w:p>
            <w:pPr>
              <w:jc w:val="center"/>
              <w:rPr>
                <w:rFonts w:cs="宋体" w:asciiTheme="minorEastAsia" w:hAnsiTheme="minorEastAsia"/>
                <w:color w:val="000000"/>
                <w:kern w:val="0"/>
                <w:sz w:val="22"/>
              </w:rPr>
            </w:pPr>
          </w:p>
        </w:tc>
        <w:tc>
          <w:tcPr>
            <w:tcW w:w="1080" w:type="dxa"/>
            <w:tcBorders>
              <w:top w:val="single" w:color="auto" w:sz="4" w:space="0"/>
              <w:left w:val="single" w:color="auto" w:sz="8" w:space="0"/>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686"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4</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研究生导师</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认真贯彻落实“立德树人” ，坚持把社会主义核心价值体系融入研究生教育全过程。教育研究生坚持正确的政治方向，自觉遵守国家法律和校规校纪，引导研究生树立正确的世界观、人生观与价值观，养成良好的道德品质。研究生导师经个人申请，</w:t>
            </w:r>
            <w:r>
              <w:rPr>
                <w:rFonts w:hint="default" w:cs="宋体" w:asciiTheme="minorEastAsia" w:hAnsiTheme="minorEastAsia"/>
                <w:color w:val="000000"/>
                <w:kern w:val="0"/>
                <w:sz w:val="22"/>
              </w:rPr>
              <w:t>学院</w:t>
            </w:r>
            <w:r>
              <w:rPr>
                <w:rFonts w:hint="eastAsia" w:cs="宋体" w:asciiTheme="minorEastAsia" w:hAnsiTheme="minorEastAsia"/>
                <w:color w:val="000000"/>
                <w:kern w:val="0"/>
                <w:sz w:val="22"/>
              </w:rPr>
              <w:t>学位评定分委员会初选和学校学位评定委员会评定，具体以当年《</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研究生综合导师招聘通知》为准。</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能较好地完成《杭州师范大学研究生指导教师管理办法》及《关于进一步规范</w:t>
            </w:r>
            <w:r>
              <w:rPr>
                <w:rFonts w:hint="default" w:cs="宋体" w:asciiTheme="minorEastAsia" w:hAnsiTheme="minorEastAsia"/>
                <w:color w:val="000000"/>
                <w:kern w:val="0"/>
                <w:sz w:val="22"/>
              </w:rPr>
              <w:t>药学院</w:t>
            </w:r>
            <w:r>
              <w:rPr>
                <w:rFonts w:hint="eastAsia" w:cs="宋体" w:asciiTheme="minorEastAsia" w:hAnsiTheme="minorEastAsia"/>
                <w:color w:val="000000"/>
                <w:kern w:val="0"/>
                <w:sz w:val="22"/>
              </w:rPr>
              <w:t>研究生培养管理的若干实施意见》中各项工作要求。</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2/人·年</w:t>
            </w:r>
          </w:p>
        </w:tc>
        <w:tc>
          <w:tcPr>
            <w:tcW w:w="10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学科办</w:t>
            </w:r>
          </w:p>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研工办</w:t>
            </w:r>
          </w:p>
        </w:tc>
        <w:tc>
          <w:tcPr>
            <w:tcW w:w="108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26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学生党支部书记</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中共党员，党龄5年以上，对党忠诚，理想信念坚定，模范遵守党的政治纪律。学生党支部书记根据当年支部设立情况及工作需要，由所在教工支部推荐，</w:t>
            </w:r>
            <w:r>
              <w:rPr>
                <w:rFonts w:hint="default" w:cs="宋体" w:asciiTheme="minorEastAsia" w:hAnsiTheme="minorEastAsia"/>
                <w:color w:val="000000"/>
                <w:kern w:val="0"/>
                <w:sz w:val="22"/>
              </w:rPr>
              <w:t>党总支</w:t>
            </w:r>
            <w:r>
              <w:rPr>
                <w:rFonts w:hint="eastAsia" w:cs="宋体" w:asciiTheme="minorEastAsia" w:hAnsiTheme="minorEastAsia"/>
                <w:color w:val="000000"/>
                <w:kern w:val="0"/>
                <w:sz w:val="22"/>
              </w:rPr>
              <w:t>任命，有党支部工作经验者优先。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恪守师德师风，关爱学生。能及时传达、学习、贯彻上级党组织的决议决定，完成上级党组织安排的各项任务。认真做好组织发展工作，严格按照标准发展党员，程序规范，资料完备。模范践行“两学一做”，按要求执行“三会一课”，认真落实党支部组织生活会制度及党员固定活动日制度。</w:t>
            </w:r>
          </w:p>
        </w:tc>
        <w:tc>
          <w:tcPr>
            <w:tcW w:w="3240" w:type="dxa"/>
            <w:gridSpan w:val="3"/>
            <w:tcBorders>
              <w:top w:val="nil"/>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20/年+5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党政办</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考核合格者，每年度计 20分，获校级优秀党支部书记及以上荣誉再加 5 分</w:t>
            </w:r>
          </w:p>
        </w:tc>
      </w:tr>
      <w:tr>
        <w:tblPrEx>
          <w:tblCellMar>
            <w:top w:w="0" w:type="dxa"/>
            <w:left w:w="108" w:type="dxa"/>
            <w:bottom w:w="0" w:type="dxa"/>
            <w:right w:w="108" w:type="dxa"/>
          </w:tblCellMar>
        </w:tblPrEx>
        <w:trPr>
          <w:trHeight w:val="327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学生社团指导教师</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学生社团指导教师原则上由有关专业背景或服务需求的单位和教师指导，根据当年社团设立情况及工作需，由社团提出聘请建议，自主报名与团委推荐相结合，择优选聘。</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了解并遵守有关杭州师范大学学生社团的各项章程、管理办法；了解社团开展的活动及社团内部动态，对涉及学校及组织名誉的活动严格把关，加强监督，承担活动的审批责任；把握社团发展方向，引领社团健康和谐、可持续性地发展；监督社团的财务状况，定期审核帐目；每学期至少参加该社团活动两次，出席与指导社团会员大会的召开和负责人的推选。</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10/年+5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考核合格者，每年度计10分，获学校优秀指导教师或指导的社团获评十佳社团再加 5 分</w:t>
            </w:r>
          </w:p>
        </w:tc>
      </w:tr>
      <w:tr>
        <w:tblPrEx>
          <w:tblCellMar>
            <w:top w:w="0" w:type="dxa"/>
            <w:left w:w="108" w:type="dxa"/>
            <w:bottom w:w="0" w:type="dxa"/>
            <w:right w:w="108" w:type="dxa"/>
          </w:tblCellMar>
        </w:tblPrEx>
        <w:trPr>
          <w:trHeight w:val="250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社会实践指导教师</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根据当年校团委社会实践工作要求及</w:t>
            </w:r>
            <w:r>
              <w:rPr>
                <w:rFonts w:hint="default" w:cs="宋体" w:asciiTheme="minorEastAsia" w:hAnsiTheme="minorEastAsia"/>
                <w:color w:val="000000"/>
                <w:kern w:val="0"/>
                <w:sz w:val="22"/>
              </w:rPr>
              <w:t>学院</w:t>
            </w:r>
            <w:r>
              <w:rPr>
                <w:rFonts w:hint="eastAsia" w:cs="宋体" w:asciiTheme="minorEastAsia" w:hAnsiTheme="minorEastAsia"/>
                <w:color w:val="000000"/>
                <w:kern w:val="0"/>
                <w:sz w:val="22"/>
              </w:rPr>
              <w:t>立项情况选聘，自主报名与团委推荐相结合，择优录取。</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指导教师全权负责社会实践团队的申报立项、开展实践和总结工作；需掌握团队活动的进展情况，加强团队成员的日常教育管理，认真落实各项安全措施。遇意外事件及时采取措施，保证团队的安全和实践活动的顺利进行，确保外出实践师生的人员、财产安全。</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2/天+5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教师带队每天计2分。项目获各级荣誉或获评优秀指导教师的增加 5 分</w:t>
            </w:r>
          </w:p>
        </w:tc>
      </w:tr>
      <w:tr>
        <w:tblPrEx>
          <w:tblCellMar>
            <w:top w:w="0" w:type="dxa"/>
            <w:left w:w="108" w:type="dxa"/>
            <w:bottom w:w="0" w:type="dxa"/>
            <w:right w:w="108" w:type="dxa"/>
          </w:tblCellMar>
        </w:tblPrEx>
        <w:trPr>
          <w:trHeight w:val="420"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8</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创新创业指导教师</w:t>
            </w:r>
          </w:p>
        </w:tc>
        <w:tc>
          <w:tcPr>
            <w:tcW w:w="3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对学生进行与创新训练有关的创新思维、创新方法、创业训练、项目管理和企业管理等指导。指导教师与学生实行双向选择，最终以当年学校立项情况为准。</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vMerge w:val="restart"/>
            <w:tcBorders>
              <w:top w:val="single" w:color="auto" w:sz="8" w:space="0"/>
              <w:left w:val="single" w:color="auto" w:sz="8" w:space="0"/>
              <w:right w:val="single" w:color="auto" w:sz="8" w:space="0"/>
            </w:tcBorders>
            <w:shd w:val="clear" w:color="auto" w:fill="auto"/>
            <w:vAlign w:val="center"/>
          </w:tcPr>
          <w:p>
            <w:pPr>
              <w:jc w:val="left"/>
              <w:rPr>
                <w:rFonts w:cs="宋体" w:asciiTheme="minorEastAsia" w:hAnsiTheme="minorEastAsia"/>
                <w:color w:val="000000"/>
                <w:kern w:val="0"/>
                <w:sz w:val="22"/>
              </w:rPr>
            </w:pPr>
            <w:r>
              <w:rPr>
                <w:rFonts w:hint="eastAsia" w:cs="宋体" w:asciiTheme="minorEastAsia" w:hAnsiTheme="minorEastAsia"/>
                <w:color w:val="000000"/>
                <w:kern w:val="0"/>
                <w:sz w:val="22"/>
              </w:rPr>
              <w:t>在指导过程中，注重发挥学生的主动性和创造性，引导学生自主完成研究计划，注重培养学生综合素质。要加强对学生科研成果培育过程的监督与指导，对学生科研成果的观点、论据和实验数据等严格把关，强化学术规范要求，严禁学术腐败，保证成果的独创性,保证学生科研成果质量。需加入</w:t>
            </w:r>
            <w:r>
              <w:rPr>
                <w:rFonts w:hint="default" w:cs="宋体" w:asciiTheme="minorEastAsia" w:hAnsiTheme="minorEastAsia"/>
                <w:color w:val="000000"/>
                <w:kern w:val="0"/>
                <w:sz w:val="22"/>
              </w:rPr>
              <w:t>学院</w:t>
            </w:r>
            <w:r>
              <w:rPr>
                <w:rFonts w:hint="eastAsia" w:cs="宋体" w:asciiTheme="minorEastAsia" w:hAnsiTheme="minorEastAsia"/>
                <w:color w:val="000000"/>
                <w:kern w:val="0"/>
                <w:sz w:val="22"/>
              </w:rPr>
              <w:t>创新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创新创业项目结题</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国家级</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教务科</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项目需按结题要求完成结题</w:t>
            </w:r>
          </w:p>
        </w:tc>
      </w:tr>
      <w:tr>
        <w:tblPrEx>
          <w:tblCellMar>
            <w:top w:w="0" w:type="dxa"/>
            <w:left w:w="108" w:type="dxa"/>
            <w:bottom w:w="0" w:type="dxa"/>
            <w:right w:w="108" w:type="dxa"/>
          </w:tblCellMar>
        </w:tblPrEx>
        <w:trPr>
          <w:trHeight w:val="42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省级</w:t>
            </w:r>
          </w:p>
        </w:tc>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1080" w:type="dxa"/>
            <w:vMerge w:val="restart"/>
            <w:tcBorders>
              <w:top w:val="nil"/>
              <w:left w:val="nil"/>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2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校级</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1080" w:type="dxa"/>
            <w:vMerge w:val="continue"/>
            <w:tcBorders>
              <w:left w:val="nil"/>
              <w:bottom w:val="single" w:color="auto" w:sz="4" w:space="0"/>
              <w:right w:val="nil"/>
            </w:tcBorders>
            <w:shd w:val="clear" w:color="auto" w:fill="auto"/>
            <w:vAlign w:val="center"/>
          </w:tcPr>
          <w:p>
            <w:pPr>
              <w:jc w:val="center"/>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single" w:color="auto" w:sz="8" w:space="0"/>
              <w:left w:val="nil"/>
              <w:bottom w:val="nil"/>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国家发明专利</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vMerge w:val="restart"/>
            <w:tcBorders>
              <w:top w:val="single" w:color="auto" w:sz="4" w:space="0"/>
              <w:left w:val="single" w:color="auto" w:sz="8" w:space="0"/>
              <w:right w:val="nil"/>
            </w:tcBorders>
            <w:shd w:val="clear" w:color="auto" w:fill="auto"/>
            <w:noWrap/>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提供专利证书</w:t>
            </w: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其他专利</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vMerge w:val="continue"/>
            <w:tcBorders>
              <w:left w:val="single" w:color="auto" w:sz="8" w:space="0"/>
              <w:right w:val="nil"/>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核心期刊论文</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vMerge w:val="continue"/>
            <w:tcBorders>
              <w:left w:val="single" w:color="auto" w:sz="8" w:space="0"/>
              <w:right w:val="nil"/>
            </w:tcBorders>
            <w:vAlign w:val="center"/>
          </w:tcPr>
          <w:p>
            <w:pPr>
              <w:widowControl/>
              <w:jc w:val="left"/>
              <w:rPr>
                <w:rFonts w:cs="宋体" w:asciiTheme="minorEastAsia" w:hAnsiTheme="minorEastAsia"/>
                <w:color w:val="000000"/>
                <w:kern w:val="0"/>
                <w:sz w:val="22"/>
              </w:rPr>
            </w:pPr>
          </w:p>
        </w:tc>
        <w:tc>
          <w:tcPr>
            <w:tcW w:w="1080" w:type="dxa"/>
            <w:vMerge w:val="restart"/>
            <w:tcBorders>
              <w:top w:val="nil"/>
              <w:left w:val="single" w:color="auto" w:sz="8" w:space="0"/>
              <w:right w:val="single" w:color="auto" w:sz="8" w:space="0"/>
            </w:tcBorders>
            <w:shd w:val="clear" w:color="auto" w:fill="auto"/>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参考学校期刊目录</w:t>
            </w:r>
          </w:p>
        </w:tc>
      </w:tr>
      <w:tr>
        <w:tblPrEx>
          <w:tblCellMar>
            <w:top w:w="0" w:type="dxa"/>
            <w:left w:w="108" w:type="dxa"/>
            <w:bottom w:w="0" w:type="dxa"/>
            <w:right w:w="108" w:type="dxa"/>
          </w:tblCellMar>
        </w:tblPrEx>
        <w:trPr>
          <w:trHeight w:val="435" w:hRule="atLeast"/>
        </w:trPr>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bottom w:val="single" w:color="auto" w:sz="4" w:space="0"/>
              <w:right w:val="single" w:color="auto" w:sz="8" w:space="0"/>
            </w:tcBorders>
            <w:vAlign w:val="center"/>
          </w:tcPr>
          <w:p>
            <w:pPr>
              <w:jc w:val="left"/>
              <w:rPr>
                <w:rFonts w:cs="宋体" w:asciiTheme="minorEastAsia" w:hAnsiTheme="minorEastAsia"/>
                <w:color w:val="000000"/>
                <w:kern w:val="0"/>
                <w:sz w:val="22"/>
              </w:rPr>
            </w:pPr>
          </w:p>
        </w:tc>
        <w:tc>
          <w:tcPr>
            <w:tcW w:w="2160"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普通期刊论文</w:t>
            </w:r>
          </w:p>
        </w:tc>
        <w:tc>
          <w:tcPr>
            <w:tcW w:w="108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vMerge w:val="continue"/>
            <w:tcBorders>
              <w:left w:val="single" w:color="auto" w:sz="8" w:space="0"/>
              <w:bottom w:val="single" w:color="auto" w:sz="4" w:space="0"/>
              <w:right w:val="nil"/>
            </w:tcBorders>
            <w:vAlign w:val="center"/>
          </w:tcPr>
          <w:p>
            <w:pPr>
              <w:jc w:val="center"/>
              <w:rPr>
                <w:rFonts w:cs="宋体" w:asciiTheme="minorEastAsia" w:hAnsiTheme="minorEastAsia"/>
                <w:color w:val="000000"/>
                <w:kern w:val="0"/>
                <w:sz w:val="22"/>
              </w:rPr>
            </w:pPr>
          </w:p>
        </w:tc>
        <w:tc>
          <w:tcPr>
            <w:tcW w:w="1080" w:type="dxa"/>
            <w:vMerge w:val="continue"/>
            <w:tcBorders>
              <w:left w:val="single" w:color="auto" w:sz="8" w:space="0"/>
              <w:bottom w:val="single" w:color="auto" w:sz="4" w:space="0"/>
              <w:right w:val="single" w:color="auto" w:sz="8" w:space="0"/>
            </w:tcBorders>
            <w:vAlign w:val="center"/>
          </w:tcPr>
          <w:p>
            <w:pPr>
              <w:jc w:val="center"/>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8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tcBorders>
              <w:top w:val="single" w:color="auto" w:sz="4" w:space="0"/>
              <w:left w:val="single" w:color="auto" w:sz="8" w:space="0"/>
              <w:bottom w:val="single" w:color="000000" w:sz="8" w:space="0"/>
              <w:right w:val="single" w:color="auto" w:sz="8" w:space="0"/>
            </w:tcBorders>
            <w:vAlign w:val="center"/>
          </w:tcPr>
          <w:p>
            <w:pPr>
              <w:jc w:val="left"/>
              <w:rPr>
                <w:rFonts w:cs="宋体" w:asciiTheme="minorEastAsia" w:hAnsiTheme="minorEastAsia"/>
                <w:color w:val="000000"/>
                <w:kern w:val="0"/>
                <w:sz w:val="22"/>
              </w:rPr>
            </w:pPr>
            <w:r>
              <w:rPr>
                <w:rFonts w:hint="eastAsia" w:cs="宋体" w:asciiTheme="minorEastAsia" w:hAnsiTheme="minorEastAsia"/>
                <w:color w:val="000000"/>
                <w:kern w:val="0"/>
                <w:sz w:val="22"/>
              </w:rPr>
              <w:t>创业指导教师人才库，每年按要求做好登记。</w:t>
            </w:r>
          </w:p>
        </w:tc>
        <w:tc>
          <w:tcPr>
            <w:tcW w:w="2160" w:type="dxa"/>
            <w:gridSpan w:val="2"/>
            <w:tcBorders>
              <w:top w:val="single" w:color="auto" w:sz="4"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注册企业</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tcBorders>
              <w:top w:val="single" w:color="auto" w:sz="4" w:space="0"/>
              <w:left w:val="single" w:color="auto" w:sz="8" w:space="0"/>
              <w:bottom w:val="single" w:color="000000" w:sz="8" w:space="0"/>
              <w:right w:val="nil"/>
            </w:tcBorders>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提供营业执照</w:t>
            </w:r>
          </w:p>
        </w:tc>
      </w:tr>
      <w:tr>
        <w:tblPrEx>
          <w:tblCellMar>
            <w:top w:w="0" w:type="dxa"/>
            <w:left w:w="108" w:type="dxa"/>
            <w:bottom w:w="0" w:type="dxa"/>
            <w:right w:w="108" w:type="dxa"/>
          </w:tblCellMar>
        </w:tblPrEx>
        <w:trPr>
          <w:trHeight w:val="2265" w:hRule="atLeast"/>
        </w:trPr>
        <w:tc>
          <w:tcPr>
            <w:tcW w:w="108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9</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学生竞赛指导教师</w:t>
            </w:r>
          </w:p>
        </w:tc>
        <w:tc>
          <w:tcPr>
            <w:tcW w:w="306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能为学生竞赛活动提供及时、全程、专业的培训和指导。由教务科、学工办等相关部门根据当年竞赛工作实际需要组织并选聘，自主报名与学院推荐相结合，择优录取。</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备竞赛相关的专业背景和技能，能为学生竞赛活动提供及时、全程、专业的培训和指导。加强竞赛期间对学生的教育和管理，认真落实各项安全措施，保证竞赛的顺利进行。竞赛包括学校组织的学科竞赛、体育竞赛、艺术展演等</w:t>
            </w:r>
          </w:p>
        </w:tc>
        <w:tc>
          <w:tcPr>
            <w:tcW w:w="3240"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10/项+5</w:t>
            </w:r>
          </w:p>
        </w:tc>
        <w:tc>
          <w:tcPr>
            <w:tcW w:w="108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教务科</w:t>
            </w:r>
          </w:p>
          <w:p>
            <w:pPr>
              <w:widowControl/>
              <w:jc w:val="center"/>
              <w:rPr>
                <w:rFonts w:cs="宋体" w:asciiTheme="minorEastAsia" w:hAnsiTheme="minorEastAsia"/>
                <w:kern w:val="0"/>
                <w:sz w:val="22"/>
              </w:rPr>
            </w:pPr>
            <w:r>
              <w:rPr>
                <w:rFonts w:hint="eastAsia" w:cs="宋体" w:asciiTheme="minorEastAsia" w:hAnsiTheme="minorEastAsia"/>
                <w:kern w:val="0"/>
                <w:sz w:val="22"/>
              </w:rPr>
              <w:t>团委</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获省级以上奖项的每个项目增加5分。</w:t>
            </w:r>
          </w:p>
        </w:tc>
      </w:tr>
      <w:tr>
        <w:tblPrEx>
          <w:tblCellMar>
            <w:top w:w="0" w:type="dxa"/>
            <w:left w:w="108" w:type="dxa"/>
            <w:bottom w:w="0" w:type="dxa"/>
            <w:right w:w="108" w:type="dxa"/>
          </w:tblCellMar>
        </w:tblPrEx>
        <w:trPr>
          <w:trHeight w:val="2265" w:hRule="atLeast"/>
        </w:trPr>
        <w:tc>
          <w:tcPr>
            <w:tcW w:w="1080" w:type="dxa"/>
            <w:tcBorders>
              <w:top w:val="single" w:color="auto" w:sz="4" w:space="0"/>
              <w:left w:val="single" w:color="auto" w:sz="8" w:space="0"/>
              <w:bottom w:val="nil"/>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w:t>
            </w:r>
          </w:p>
        </w:tc>
        <w:tc>
          <w:tcPr>
            <w:tcW w:w="1080" w:type="dxa"/>
            <w:tcBorders>
              <w:top w:val="single" w:color="auto" w:sz="4" w:space="0"/>
              <w:left w:val="nil"/>
              <w:bottom w:val="nil"/>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课外育人课堂主讲教师</w:t>
            </w:r>
          </w:p>
        </w:tc>
        <w:tc>
          <w:tcPr>
            <w:tcW w:w="3060" w:type="dxa"/>
            <w:tcBorders>
              <w:top w:val="single" w:color="auto" w:sz="4"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根据当年活动需要组织开展，以自主报名与部门推荐相结合，择优选聘。</w:t>
            </w:r>
          </w:p>
        </w:tc>
        <w:tc>
          <w:tcPr>
            <w:tcW w:w="1080" w:type="dxa"/>
            <w:tcBorders>
              <w:top w:val="single" w:color="auto" w:sz="4" w:space="0"/>
              <w:left w:val="nil"/>
              <w:bottom w:val="nil"/>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4"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有坚定的政治立场，在政治上、思想上、行动上和党中央保持一致；理想信念坚定，恪守师德师风，能及时学习、宣传、贯彻党和国家最新的理论、方针、政策等。担任党校、团校等培训或思政教育专题报告、沙龙活动等主讲教师</w:t>
            </w:r>
          </w:p>
        </w:tc>
        <w:tc>
          <w:tcPr>
            <w:tcW w:w="3240" w:type="dxa"/>
            <w:gridSpan w:val="3"/>
            <w:tcBorders>
              <w:top w:val="single" w:color="auto" w:sz="4" w:space="0"/>
              <w:left w:val="nil"/>
              <w:bottom w:val="nil"/>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3/半天（3课时）</w:t>
            </w:r>
          </w:p>
        </w:tc>
        <w:tc>
          <w:tcPr>
            <w:tcW w:w="1080" w:type="dxa"/>
            <w:tcBorders>
              <w:top w:val="single" w:color="auto" w:sz="4" w:space="0"/>
              <w:left w:val="nil"/>
              <w:bottom w:val="nil"/>
              <w:right w:val="nil"/>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团委</w:t>
            </w:r>
          </w:p>
          <w:p>
            <w:pPr>
              <w:widowControl/>
              <w:jc w:val="center"/>
              <w:rPr>
                <w:rFonts w:cs="宋体" w:asciiTheme="minorEastAsia" w:hAnsiTheme="minorEastAsia"/>
                <w:kern w:val="0"/>
                <w:sz w:val="22"/>
              </w:rPr>
            </w:pPr>
            <w:r>
              <w:rPr>
                <w:rFonts w:hint="eastAsia" w:cs="宋体" w:asciiTheme="minorEastAsia" w:hAnsiTheme="minorEastAsia"/>
                <w:kern w:val="0"/>
                <w:sz w:val="22"/>
              </w:rPr>
              <w:t>学工办</w:t>
            </w:r>
          </w:p>
          <w:p>
            <w:pPr>
              <w:widowControl/>
              <w:jc w:val="center"/>
              <w:rPr>
                <w:rFonts w:cs="宋体" w:asciiTheme="minorEastAsia" w:hAnsiTheme="minorEastAsia"/>
                <w:kern w:val="0"/>
                <w:sz w:val="22"/>
              </w:rPr>
            </w:pPr>
            <w:r>
              <w:rPr>
                <w:rFonts w:hint="eastAsia" w:cs="宋体" w:asciiTheme="minorEastAsia" w:hAnsiTheme="minorEastAsia"/>
                <w:kern w:val="0"/>
                <w:sz w:val="22"/>
              </w:rPr>
              <w:t>研工办</w:t>
            </w:r>
          </w:p>
          <w:p>
            <w:pPr>
              <w:widowControl/>
              <w:jc w:val="center"/>
              <w:rPr>
                <w:rFonts w:cs="宋体" w:asciiTheme="minorEastAsia" w:hAnsiTheme="minorEastAsia"/>
                <w:kern w:val="0"/>
                <w:sz w:val="22"/>
              </w:rPr>
            </w:pPr>
            <w:r>
              <w:rPr>
                <w:rFonts w:hint="eastAsia" w:cs="宋体" w:asciiTheme="minorEastAsia" w:hAnsiTheme="minorEastAsia"/>
                <w:kern w:val="0"/>
                <w:sz w:val="22"/>
              </w:rPr>
              <w:t>教务科</w:t>
            </w:r>
          </w:p>
        </w:tc>
        <w:tc>
          <w:tcPr>
            <w:tcW w:w="1080" w:type="dxa"/>
            <w:tcBorders>
              <w:top w:val="single" w:color="auto" w:sz="4" w:space="0"/>
              <w:left w:val="single" w:color="auto" w:sz="8" w:space="0"/>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CellMar>
            <w:top w:w="0" w:type="dxa"/>
            <w:left w:w="108" w:type="dxa"/>
            <w:bottom w:w="0" w:type="dxa"/>
            <w:right w:w="108" w:type="dxa"/>
          </w:tblCellMar>
        </w:tblPrEx>
        <w:trPr>
          <w:trHeight w:val="1537"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11</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课外活动指导老师</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根据当年活动需要组织开展，担任学生非教学活动评审或辅导工作，以自主报名与部门推荐相结合，择优选聘。</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需具备活动相关的专业背景。指导或评审学生开展各类校园文化活动和素质提升项目等活动</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2/半天</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团委</w:t>
            </w:r>
          </w:p>
          <w:p>
            <w:pPr>
              <w:widowControl/>
              <w:jc w:val="center"/>
              <w:rPr>
                <w:rFonts w:cs="宋体" w:asciiTheme="minorEastAsia" w:hAnsiTheme="minorEastAsia"/>
                <w:kern w:val="0"/>
                <w:sz w:val="22"/>
              </w:rPr>
            </w:pPr>
            <w:r>
              <w:rPr>
                <w:rFonts w:hint="eastAsia" w:cs="宋体" w:asciiTheme="minorEastAsia" w:hAnsiTheme="minorEastAsia"/>
                <w:kern w:val="0"/>
                <w:sz w:val="22"/>
              </w:rPr>
              <w:t>学工办</w:t>
            </w:r>
          </w:p>
          <w:p>
            <w:pPr>
              <w:widowControl/>
              <w:jc w:val="center"/>
              <w:rPr>
                <w:rFonts w:cs="宋体" w:asciiTheme="minorEastAsia" w:hAnsiTheme="minorEastAsia"/>
                <w:kern w:val="0"/>
                <w:sz w:val="22"/>
              </w:rPr>
            </w:pPr>
            <w:r>
              <w:rPr>
                <w:rFonts w:hint="eastAsia" w:cs="宋体" w:asciiTheme="minorEastAsia" w:hAnsiTheme="minorEastAsia"/>
                <w:kern w:val="0"/>
                <w:sz w:val="22"/>
              </w:rPr>
              <w:t>研工办</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bl>
    <w:p>
      <w:pPr>
        <w:spacing w:line="400" w:lineRule="exact"/>
        <w:rPr>
          <w:b/>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ODA5OTlkYzZlMzZlMGNlMjVmZTJlYWU2ODViNDEifQ=="/>
  </w:docVars>
  <w:rsids>
    <w:rsidRoot w:val="525A6F0D"/>
    <w:rsid w:val="00097D63"/>
    <w:rsid w:val="000C0D3B"/>
    <w:rsid w:val="000D3F03"/>
    <w:rsid w:val="000D7968"/>
    <w:rsid w:val="00174987"/>
    <w:rsid w:val="001E64FB"/>
    <w:rsid w:val="001F715E"/>
    <w:rsid w:val="0021055F"/>
    <w:rsid w:val="00231097"/>
    <w:rsid w:val="00267F5A"/>
    <w:rsid w:val="00280EAC"/>
    <w:rsid w:val="003B7351"/>
    <w:rsid w:val="003E0C9A"/>
    <w:rsid w:val="0049108C"/>
    <w:rsid w:val="00537F3B"/>
    <w:rsid w:val="006C3CED"/>
    <w:rsid w:val="00793365"/>
    <w:rsid w:val="008740DD"/>
    <w:rsid w:val="008C23A0"/>
    <w:rsid w:val="008C2B4F"/>
    <w:rsid w:val="00952924"/>
    <w:rsid w:val="00A74B4E"/>
    <w:rsid w:val="00BF08C6"/>
    <w:rsid w:val="00C17263"/>
    <w:rsid w:val="00C57559"/>
    <w:rsid w:val="00D06CCC"/>
    <w:rsid w:val="00DF0CEF"/>
    <w:rsid w:val="00EA694B"/>
    <w:rsid w:val="00ED71E9"/>
    <w:rsid w:val="00F07E4E"/>
    <w:rsid w:val="00F37BFA"/>
    <w:rsid w:val="00F53975"/>
    <w:rsid w:val="00F8678E"/>
    <w:rsid w:val="01F33FB7"/>
    <w:rsid w:val="0203213B"/>
    <w:rsid w:val="04D12120"/>
    <w:rsid w:val="057151D2"/>
    <w:rsid w:val="06C05EE6"/>
    <w:rsid w:val="07353327"/>
    <w:rsid w:val="0A6D551E"/>
    <w:rsid w:val="0B125267"/>
    <w:rsid w:val="0B270BAF"/>
    <w:rsid w:val="0C3C07E4"/>
    <w:rsid w:val="0F427CB6"/>
    <w:rsid w:val="0F5A7383"/>
    <w:rsid w:val="129138F2"/>
    <w:rsid w:val="19606CC3"/>
    <w:rsid w:val="19A64CA2"/>
    <w:rsid w:val="1ADC7C73"/>
    <w:rsid w:val="1B114B41"/>
    <w:rsid w:val="1C2F2B84"/>
    <w:rsid w:val="1D0D257B"/>
    <w:rsid w:val="1EA76175"/>
    <w:rsid w:val="208D53AF"/>
    <w:rsid w:val="220B6F20"/>
    <w:rsid w:val="221E245A"/>
    <w:rsid w:val="22AD4B06"/>
    <w:rsid w:val="23CE3A47"/>
    <w:rsid w:val="24C524C0"/>
    <w:rsid w:val="26CB585A"/>
    <w:rsid w:val="27521B02"/>
    <w:rsid w:val="29576481"/>
    <w:rsid w:val="300A62A1"/>
    <w:rsid w:val="30696610"/>
    <w:rsid w:val="31175DC2"/>
    <w:rsid w:val="316C69DB"/>
    <w:rsid w:val="34C2296D"/>
    <w:rsid w:val="353F08D9"/>
    <w:rsid w:val="36184B04"/>
    <w:rsid w:val="36900367"/>
    <w:rsid w:val="36904DDD"/>
    <w:rsid w:val="3AF758A7"/>
    <w:rsid w:val="3EF46C6C"/>
    <w:rsid w:val="417C32A4"/>
    <w:rsid w:val="422972F3"/>
    <w:rsid w:val="44835E80"/>
    <w:rsid w:val="49CE33D2"/>
    <w:rsid w:val="4C8011A8"/>
    <w:rsid w:val="4D6607DB"/>
    <w:rsid w:val="525A6F0D"/>
    <w:rsid w:val="53463C54"/>
    <w:rsid w:val="54F241F3"/>
    <w:rsid w:val="584734DA"/>
    <w:rsid w:val="5DDF3B89"/>
    <w:rsid w:val="5E530304"/>
    <w:rsid w:val="5F825C78"/>
    <w:rsid w:val="5FA77DD4"/>
    <w:rsid w:val="672D7BB8"/>
    <w:rsid w:val="67BC17AC"/>
    <w:rsid w:val="68A574EA"/>
    <w:rsid w:val="6A616580"/>
    <w:rsid w:val="6A8E3129"/>
    <w:rsid w:val="6C380C84"/>
    <w:rsid w:val="6C7E25E3"/>
    <w:rsid w:val="6F675249"/>
    <w:rsid w:val="70751081"/>
    <w:rsid w:val="735A07AD"/>
    <w:rsid w:val="735D7E7F"/>
    <w:rsid w:val="75350941"/>
    <w:rsid w:val="775616FB"/>
    <w:rsid w:val="786318C1"/>
    <w:rsid w:val="789E25E2"/>
    <w:rsid w:val="7C754F41"/>
    <w:rsid w:val="7CBC6D06"/>
    <w:rsid w:val="7DA1351B"/>
    <w:rsid w:val="7E1A41E3"/>
    <w:rsid w:val="7FEB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34"/>
    <w:qFormat/>
    <w:uiPriority w:val="99"/>
    <w:pPr>
      <w:tabs>
        <w:tab w:val="center" w:pos="4153"/>
        <w:tab w:val="right" w:pos="8306"/>
      </w:tabs>
      <w:snapToGrid w:val="0"/>
      <w:jc w:val="left"/>
    </w:pPr>
    <w:rPr>
      <w:sz w:val="18"/>
      <w:szCs w:val="18"/>
    </w:rPr>
  </w:style>
  <w:style w:type="paragraph" w:styleId="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0088CC"/>
      <w:u w:val="none"/>
    </w:rPr>
  </w:style>
  <w:style w:type="character" w:styleId="10">
    <w:name w:val="Emphasis"/>
    <w:basedOn w:val="7"/>
    <w:qFormat/>
    <w:uiPriority w:val="0"/>
    <w:rPr>
      <w:i/>
    </w:rPr>
  </w:style>
  <w:style w:type="character" w:styleId="11">
    <w:name w:val="HTML Definition"/>
    <w:basedOn w:val="7"/>
    <w:qFormat/>
    <w:uiPriority w:val="0"/>
    <w:rPr>
      <w:i/>
    </w:rPr>
  </w:style>
  <w:style w:type="character" w:styleId="12">
    <w:name w:val="HTML Typewriter"/>
    <w:basedOn w:val="7"/>
    <w:qFormat/>
    <w:uiPriority w:val="0"/>
    <w:rPr>
      <w:rFonts w:hint="default" w:ascii="Consolas" w:hAnsi="Consolas" w:eastAsia="Consolas" w:cs="Consolas"/>
      <w:sz w:val="21"/>
      <w:szCs w:val="21"/>
    </w:rPr>
  </w:style>
  <w:style w:type="character" w:styleId="13">
    <w:name w:val="HTML Acronym"/>
    <w:basedOn w:val="7"/>
    <w:qFormat/>
    <w:uiPriority w:val="0"/>
  </w:style>
  <w:style w:type="character" w:styleId="14">
    <w:name w:val="HTML Variable"/>
    <w:basedOn w:val="7"/>
    <w:qFormat/>
    <w:uiPriority w:val="0"/>
    <w:rPr>
      <w:rFonts w:ascii="Consolas" w:hAnsi="Consolas" w:eastAsia="Consolas" w:cs="Consolas"/>
      <w:i/>
      <w:sz w:val="21"/>
      <w:szCs w:val="21"/>
    </w:rPr>
  </w:style>
  <w:style w:type="character" w:styleId="15">
    <w:name w:val="Hyperlink"/>
    <w:basedOn w:val="7"/>
    <w:qFormat/>
    <w:uiPriority w:val="0"/>
    <w:rPr>
      <w:color w:val="0088CC"/>
      <w:u w:val="none"/>
    </w:rPr>
  </w:style>
  <w:style w:type="character" w:styleId="16">
    <w:name w:val="HTML Code"/>
    <w:basedOn w:val="7"/>
    <w:qFormat/>
    <w:uiPriority w:val="0"/>
    <w:rPr>
      <w:rFonts w:hint="default" w:ascii="Consolas" w:hAnsi="Consolas" w:eastAsia="Consolas" w:cs="Consolas"/>
      <w:sz w:val="21"/>
      <w:szCs w:val="21"/>
    </w:rPr>
  </w:style>
  <w:style w:type="character" w:styleId="17">
    <w:name w:val="HTML Cite"/>
    <w:basedOn w:val="7"/>
    <w:qFormat/>
    <w:uiPriority w:val="0"/>
    <w:rPr>
      <w:i/>
    </w:rPr>
  </w:style>
  <w:style w:type="character" w:styleId="18">
    <w:name w:val="HTML Keyboard"/>
    <w:basedOn w:val="7"/>
    <w:qFormat/>
    <w:uiPriority w:val="0"/>
    <w:rPr>
      <w:rFonts w:hint="default" w:ascii="Consolas" w:hAnsi="Consolas" w:eastAsia="Consolas" w:cs="Consolas"/>
      <w:sz w:val="21"/>
      <w:szCs w:val="21"/>
    </w:rPr>
  </w:style>
  <w:style w:type="character" w:customStyle="1" w:styleId="19">
    <w:name w:val="disabled"/>
    <w:basedOn w:val="7"/>
    <w:qFormat/>
    <w:uiPriority w:val="0"/>
    <w:rPr>
      <w:color w:val="ADAAAD"/>
    </w:rPr>
  </w:style>
  <w:style w:type="character" w:customStyle="1" w:styleId="20">
    <w:name w:val="hover43"/>
    <w:basedOn w:val="7"/>
    <w:qFormat/>
    <w:uiPriority w:val="0"/>
    <w:rPr>
      <w:color w:val="FFFFFF"/>
      <w:shd w:val="clear" w:color="auto" w:fill="444444"/>
    </w:rPr>
  </w:style>
  <w:style w:type="character" w:customStyle="1" w:styleId="21">
    <w:name w:val="hover44"/>
    <w:basedOn w:val="7"/>
    <w:qFormat/>
    <w:uiPriority w:val="0"/>
    <w:rPr>
      <w:shd w:val="clear" w:color="auto" w:fill="000000"/>
    </w:rPr>
  </w:style>
  <w:style w:type="character" w:customStyle="1" w:styleId="22">
    <w:name w:val="pages"/>
    <w:basedOn w:val="7"/>
    <w:qFormat/>
    <w:uiPriority w:val="0"/>
    <w:rPr>
      <w:color w:val="555555"/>
    </w:rPr>
  </w:style>
  <w:style w:type="character" w:customStyle="1" w:styleId="23">
    <w:name w:val="pages1"/>
    <w:basedOn w:val="7"/>
    <w:qFormat/>
    <w:uiPriority w:val="0"/>
    <w:rPr>
      <w:color w:val="555555"/>
    </w:rPr>
  </w:style>
  <w:style w:type="character" w:customStyle="1" w:styleId="24">
    <w:name w:val="pages2"/>
    <w:basedOn w:val="7"/>
    <w:qFormat/>
    <w:uiPriority w:val="0"/>
    <w:rPr>
      <w:color w:val="666666"/>
      <w:sz w:val="18"/>
      <w:szCs w:val="18"/>
      <w:u w:val="none"/>
      <w:bdr w:val="single" w:color="DEDFDE" w:sz="6" w:space="0"/>
    </w:rPr>
  </w:style>
  <w:style w:type="character" w:customStyle="1" w:styleId="25">
    <w:name w:val="current"/>
    <w:basedOn w:val="7"/>
    <w:qFormat/>
    <w:uiPriority w:val="0"/>
    <w:rPr>
      <w:color w:val="FFFFFF"/>
      <w:shd w:val="clear" w:color="auto" w:fill="444444"/>
    </w:rPr>
  </w:style>
  <w:style w:type="character" w:customStyle="1" w:styleId="26">
    <w:name w:val="current1"/>
    <w:basedOn w:val="7"/>
    <w:qFormat/>
    <w:uiPriority w:val="0"/>
    <w:rPr>
      <w:b/>
      <w:color w:val="01BCA5"/>
      <w:sz w:val="18"/>
      <w:szCs w:val="18"/>
      <w:bdr w:val="single" w:color="DEDFDE" w:sz="6" w:space="0"/>
    </w:rPr>
  </w:style>
  <w:style w:type="character" w:customStyle="1" w:styleId="27">
    <w:name w:val="dots"/>
    <w:basedOn w:val="7"/>
    <w:qFormat/>
    <w:uiPriority w:val="0"/>
    <w:rPr>
      <w:color w:val="666666"/>
      <w:sz w:val="18"/>
      <w:szCs w:val="18"/>
      <w:u w:val="none"/>
      <w:bdr w:val="single" w:color="DEDFDE" w:sz="6" w:space="0"/>
    </w:rPr>
  </w:style>
  <w:style w:type="character" w:customStyle="1" w:styleId="28">
    <w:name w:val="hover42"/>
    <w:basedOn w:val="7"/>
    <w:qFormat/>
    <w:uiPriority w:val="0"/>
    <w:rPr>
      <w:shd w:val="clear" w:color="auto" w:fill="000000"/>
    </w:rPr>
  </w:style>
  <w:style w:type="character" w:customStyle="1" w:styleId="29">
    <w:name w:val="font41"/>
    <w:basedOn w:val="7"/>
    <w:qFormat/>
    <w:uiPriority w:val="0"/>
    <w:rPr>
      <w:rFonts w:ascii="宋体" w:hAnsi="宋体" w:eastAsia="宋体" w:cs="宋体"/>
      <w:b/>
      <w:color w:val="000000"/>
      <w:sz w:val="22"/>
      <w:szCs w:val="22"/>
      <w:u w:val="none"/>
    </w:rPr>
  </w:style>
  <w:style w:type="character" w:customStyle="1" w:styleId="30">
    <w:name w:val="font71"/>
    <w:basedOn w:val="7"/>
    <w:qFormat/>
    <w:uiPriority w:val="0"/>
    <w:rPr>
      <w:rFonts w:ascii="宋体" w:hAnsi="宋体" w:eastAsia="宋体" w:cs="宋体"/>
      <w:b/>
      <w:color w:val="000000"/>
      <w:sz w:val="22"/>
      <w:szCs w:val="22"/>
      <w:u w:val="none"/>
    </w:rPr>
  </w:style>
  <w:style w:type="character" w:customStyle="1" w:styleId="31">
    <w:name w:val="font01"/>
    <w:basedOn w:val="7"/>
    <w:qFormat/>
    <w:uiPriority w:val="0"/>
    <w:rPr>
      <w:rFonts w:ascii="Calibri" w:hAnsi="Calibri" w:cs="Calibri"/>
      <w:color w:val="000000"/>
      <w:sz w:val="22"/>
      <w:szCs w:val="22"/>
      <w:u w:val="none"/>
    </w:rPr>
  </w:style>
  <w:style w:type="paragraph" w:customStyle="1" w:styleId="32">
    <w:name w:val="List Paragraph"/>
    <w:basedOn w:val="1"/>
    <w:unhideWhenUsed/>
    <w:qFormat/>
    <w:uiPriority w:val="99"/>
    <w:pPr>
      <w:ind w:firstLine="420" w:firstLineChars="200"/>
    </w:pPr>
  </w:style>
  <w:style w:type="character" w:customStyle="1" w:styleId="33">
    <w:name w:val="页眉 Char"/>
    <w:basedOn w:val="7"/>
    <w:link w:val="3"/>
    <w:qFormat/>
    <w:uiPriority w:val="0"/>
    <w:rPr>
      <w:rFonts w:ascii="Calibri" w:hAnsi="Calibri"/>
      <w:kern w:val="2"/>
      <w:sz w:val="18"/>
      <w:szCs w:val="18"/>
    </w:rPr>
  </w:style>
  <w:style w:type="character" w:customStyle="1" w:styleId="34">
    <w:name w:val="页脚 Char"/>
    <w:basedOn w:val="7"/>
    <w:link w:val="2"/>
    <w:qFormat/>
    <w:uiPriority w:val="99"/>
    <w:rPr>
      <w:rFonts w:ascii="Calibri" w:hAnsi="Calibri"/>
      <w:kern w:val="2"/>
      <w:sz w:val="18"/>
      <w:szCs w:val="18"/>
    </w:rPr>
  </w:style>
  <w:style w:type="paragraph" w:customStyle="1" w:styleId="35">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杭州师范大学</Company>
  <Pages>9</Pages>
  <Words>3674</Words>
  <Characters>3711</Characters>
  <Lines>28</Lines>
  <Paragraphs>7</Paragraphs>
  <TotalTime>139</TotalTime>
  <ScaleCrop>false</ScaleCrop>
  <LinksUpToDate>false</LinksUpToDate>
  <CharactersWithSpaces>3743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2019-10-13T09:46:00Z</dcterms:created>
  <dc:creator>Administrator</dc:creator>
  <cp:lastModifiedBy>吕倩蕾</cp:lastModifiedBy>
  <cp:lastPrinted>2021-09-27T02:57:00Z</cp:lastPrinted>
  <dcterms:modified xsi:type="dcterms:W3CDTF">2024-01-16T14:57:43Z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6B00C31B8C254121826B585B6D5EB895</vt:lpwstr>
  </property>
</Properties>
</file>