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b/>
          <w:bCs/>
          <w:i w:val="0"/>
          <w:iCs w:val="0"/>
          <w:color w:val="136AD3"/>
          <w:sz w:val="39"/>
          <w:szCs w:val="39"/>
        </w:rPr>
      </w:pPr>
      <w:bookmarkStart w:id="0" w:name="_GoBack"/>
      <w:r>
        <w:rPr>
          <w:b/>
          <w:bCs/>
          <w:i w:val="0"/>
          <w:iCs w:val="0"/>
          <w:caps w:val="0"/>
          <w:color w:val="136AD3"/>
          <w:spacing w:val="0"/>
          <w:sz w:val="39"/>
          <w:szCs w:val="39"/>
          <w:bdr w:val="none" w:color="auto" w:sz="0" w:space="0"/>
        </w:rPr>
        <w:t>杭州师范大学三好学生评选办法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为坚持社会主义办学方向，全面贯彻党的教育方针，鼓励先进，激发广大学生奋发向上，促进校园精神文明建设和校风建设，培养德、智、体、美全面发展的社会主义事业的建设者和接班人，特制定本办法。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一、评选范围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我校全日制本专科学生。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二、评选比例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按在校全日制本专科学生人数5%评定。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三、评选条件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1.热爱社会主义祖国，道德品质优良，模范遵守《高等学校学生行为准则》和校纪校规；积极参加社会实践和集体活动；热爱劳动，有良好的卫生习惯。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2.综合素质评价基本素质和发展素质圴为优秀； 3.热爱所学专业，勤奋学习，成绩优秀；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4.积极参加文体活动，有健康的心理素质，达到《国家学生体质健康标准》，课外体育锻炼出勤率在90％以上，体育成绩在80分以上；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5.获得优秀学生二等奖及以上奖学金。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四、评选和奖励办法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1.三好学生每学年评选一次，具体由各学院负责组织实施；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2.评选工作实行申报制，学生在综合素质评价的基础上自愿申报，填写《杭州师范大学三好学生登记表》；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3.在学生申报基础上，辅导员或班主任进行初审，并组织班级民主推选，经学院审核公示后报学生发展与服务部审核；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4.报学校同意后，发文表彰，并颁发荣誉证书。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24"/>
          <w:szCs w:val="24"/>
          <w:bdr w:val="none" w:color="auto" w:sz="0" w:space="0"/>
        </w:rPr>
        <w:t>五、本办法自公布之日起施行，由学生发展与服务部负责解释。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2021-09-24T07:06:05Z</dcterms:created>
  <dc:creator>lql</dc:creator>
  <cp:lastModifiedBy>吕倩蕾</cp:lastModifiedBy>
  <dcterms:modified xsi:type="dcterms:W3CDTF">2021-09-24T07:06:29Z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7D1C258D30DA45A8AFCF5FB82649F4EB</vt:lpwstr>
  </property>
</Properties>
</file>