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0" w:firstLineChars="0"/>
        <w:jc w:val="center"/>
        <w:textAlignment w:val="auto"/>
        <w:rPr>
          <w:rFonts w:hint="eastAsia" w:ascii="宋体" w:hAnsi="宋体" w:eastAsia="宋体" w:cs="宋体"/>
          <w:b/>
          <w:bCs/>
          <w:sz w:val="36"/>
          <w:szCs w:val="36"/>
        </w:rPr>
      </w:pPr>
      <w:r>
        <w:rPr>
          <w:rFonts w:hint="eastAsia" w:ascii="宋体" w:hAnsi="宋体" w:eastAsia="宋体" w:cs="宋体"/>
          <w:b/>
          <w:bCs/>
          <w:w w:val="95"/>
          <w:sz w:val="36"/>
          <w:szCs w:val="36"/>
          <w:lang w:eastAsia="zh-CN"/>
        </w:rPr>
        <w:t>药学院</w:t>
      </w:r>
      <w:r>
        <w:rPr>
          <w:rFonts w:hint="eastAsia" w:ascii="宋体" w:hAnsi="宋体" w:eastAsia="宋体" w:cs="宋体"/>
          <w:b/>
          <w:bCs/>
          <w:w w:val="95"/>
          <w:sz w:val="36"/>
          <w:szCs w:val="36"/>
        </w:rPr>
        <w:t>优秀本科毕业生评选细则</w:t>
      </w:r>
    </w:p>
    <w:p>
      <w:pPr>
        <w:pStyle w:val="3"/>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532" w:firstLineChars="200"/>
        <w:jc w:val="both"/>
        <w:textAlignment w:val="auto"/>
        <w:rPr>
          <w:rFonts w:hint="eastAsia" w:ascii="宋体" w:hAnsi="宋体" w:eastAsia="宋体" w:cs="宋体"/>
          <w:sz w:val="28"/>
          <w:szCs w:val="28"/>
        </w:rPr>
      </w:pPr>
      <w:r>
        <w:rPr>
          <w:rFonts w:hint="eastAsia" w:ascii="宋体" w:hAnsi="宋体" w:eastAsia="宋体" w:cs="宋体"/>
          <w:w w:val="95"/>
          <w:sz w:val="28"/>
          <w:szCs w:val="28"/>
        </w:rPr>
        <w:t>根据《杭州师范大学关于印发本科生先进集体和先进个人</w:t>
      </w:r>
      <w:r>
        <w:rPr>
          <w:rFonts w:hint="eastAsia" w:ascii="宋体" w:hAnsi="宋体" w:eastAsia="宋体" w:cs="宋体"/>
          <w:spacing w:val="-3"/>
          <w:sz w:val="28"/>
          <w:szCs w:val="28"/>
        </w:rPr>
        <w:t>评选办法的通知</w:t>
      </w:r>
      <w:r>
        <w:rPr>
          <w:rFonts w:hint="eastAsia" w:ascii="宋体" w:hAnsi="宋体" w:eastAsia="宋体" w:cs="宋体"/>
          <w:spacing w:val="-195"/>
          <w:sz w:val="28"/>
          <w:szCs w:val="28"/>
        </w:rPr>
        <w:t>》</w:t>
      </w:r>
      <w:r>
        <w:rPr>
          <w:rFonts w:hint="eastAsia" w:ascii="宋体" w:hAnsi="宋体" w:eastAsia="宋体" w:cs="宋体"/>
          <w:spacing w:val="-2"/>
          <w:sz w:val="28"/>
          <w:szCs w:val="28"/>
        </w:rPr>
        <w:t>（杭师大学〔2022〕25号</w:t>
      </w:r>
      <w:r>
        <w:rPr>
          <w:rFonts w:hint="eastAsia" w:ascii="宋体" w:hAnsi="宋体" w:eastAsia="宋体" w:cs="宋体"/>
          <w:spacing w:val="-161"/>
          <w:sz w:val="28"/>
          <w:szCs w:val="28"/>
        </w:rPr>
        <w:t>）</w:t>
      </w:r>
      <w:r>
        <w:rPr>
          <w:rFonts w:hint="eastAsia" w:ascii="宋体" w:hAnsi="宋体" w:eastAsia="宋体" w:cs="宋体"/>
          <w:spacing w:val="-26"/>
          <w:sz w:val="28"/>
          <w:szCs w:val="28"/>
        </w:rPr>
        <w:t>、《</w:t>
      </w:r>
      <w:r>
        <w:rPr>
          <w:rFonts w:hint="eastAsia" w:ascii="宋体" w:hAnsi="宋体" w:eastAsia="宋体" w:cs="宋体"/>
          <w:spacing w:val="-26"/>
          <w:sz w:val="28"/>
          <w:szCs w:val="28"/>
          <w:lang w:eastAsia="zh-CN"/>
        </w:rPr>
        <w:t>药学院</w:t>
      </w:r>
      <w:r>
        <w:rPr>
          <w:rFonts w:hint="eastAsia" w:ascii="宋体" w:hAnsi="宋体" w:eastAsia="宋体" w:cs="宋体"/>
          <w:spacing w:val="-26"/>
          <w:sz w:val="28"/>
          <w:szCs w:val="28"/>
        </w:rPr>
        <w:t>本科生</w:t>
      </w:r>
      <w:r>
        <w:rPr>
          <w:rFonts w:hint="eastAsia" w:ascii="宋体" w:hAnsi="宋体" w:eastAsia="宋体" w:cs="宋体"/>
          <w:spacing w:val="-12"/>
          <w:w w:val="95"/>
          <w:sz w:val="28"/>
          <w:szCs w:val="28"/>
        </w:rPr>
        <w:t>先进集体和先进个人评选办法》，对评选省级、校级</w:t>
      </w:r>
      <w:r>
        <w:rPr>
          <w:rFonts w:hint="eastAsia" w:ascii="宋体" w:hAnsi="宋体" w:eastAsia="宋体" w:cs="宋体"/>
          <w:spacing w:val="-12"/>
          <w:w w:val="95"/>
          <w:sz w:val="28"/>
          <w:szCs w:val="28"/>
          <w:lang w:val="en-US" w:eastAsia="zh-CN"/>
        </w:rPr>
        <w:t>及院级</w:t>
      </w:r>
      <w:r>
        <w:rPr>
          <w:rFonts w:hint="eastAsia" w:ascii="宋体" w:hAnsi="宋体" w:eastAsia="宋体" w:cs="宋体"/>
          <w:spacing w:val="-12"/>
          <w:w w:val="95"/>
          <w:sz w:val="28"/>
          <w:szCs w:val="28"/>
        </w:rPr>
        <w:t>优秀毕业生</w:t>
      </w:r>
      <w:r>
        <w:rPr>
          <w:rFonts w:hint="eastAsia" w:ascii="宋体" w:hAnsi="宋体" w:eastAsia="宋体" w:cs="宋体"/>
          <w:sz w:val="28"/>
          <w:szCs w:val="28"/>
        </w:rPr>
        <w:t>制定本办法。</w:t>
      </w:r>
    </w:p>
    <w:p>
      <w:pPr>
        <w:pStyle w:val="2"/>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534" w:firstLineChars="200"/>
        <w:jc w:val="both"/>
        <w:textAlignment w:val="auto"/>
        <w:rPr>
          <w:rFonts w:hint="eastAsia" w:ascii="宋体" w:hAnsi="宋体" w:eastAsia="宋体" w:cs="宋体"/>
          <w:sz w:val="28"/>
          <w:szCs w:val="28"/>
        </w:rPr>
      </w:pPr>
      <w:r>
        <w:rPr>
          <w:rFonts w:hint="eastAsia" w:ascii="宋体" w:hAnsi="宋体" w:eastAsia="宋体" w:cs="宋体"/>
          <w:w w:val="95"/>
          <w:sz w:val="28"/>
          <w:szCs w:val="28"/>
        </w:rPr>
        <w:t>一、评选目的</w:t>
      </w:r>
    </w:p>
    <w:p>
      <w:pPr>
        <w:pStyle w:val="3"/>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532" w:firstLineChars="200"/>
        <w:jc w:val="both"/>
        <w:textAlignment w:val="auto"/>
        <w:rPr>
          <w:rFonts w:hint="eastAsia" w:ascii="宋体" w:hAnsi="宋体" w:eastAsia="宋体" w:cs="宋体"/>
          <w:sz w:val="28"/>
          <w:szCs w:val="28"/>
        </w:rPr>
      </w:pPr>
      <w:r>
        <w:rPr>
          <w:rFonts w:hint="eastAsia" w:ascii="宋体" w:hAnsi="宋体" w:eastAsia="宋体" w:cs="宋体"/>
          <w:w w:val="95"/>
          <w:sz w:val="28"/>
          <w:szCs w:val="28"/>
        </w:rPr>
        <w:t>评选优秀毕业生工作是对广大毕业生进行思想政治教育和</w:t>
      </w:r>
      <w:r>
        <w:rPr>
          <w:rFonts w:hint="eastAsia" w:ascii="宋体" w:hAnsi="宋体" w:eastAsia="宋体" w:cs="宋体"/>
          <w:spacing w:val="-13"/>
          <w:w w:val="95"/>
          <w:sz w:val="28"/>
          <w:szCs w:val="28"/>
        </w:rPr>
        <w:t>毕业生就业教育的重要组成部分。通过表彰先进，树立典型，帮</w:t>
      </w:r>
      <w:r>
        <w:rPr>
          <w:rFonts w:hint="eastAsia" w:ascii="宋体" w:hAnsi="宋体" w:eastAsia="宋体" w:cs="宋体"/>
          <w:spacing w:val="-16"/>
          <w:w w:val="95"/>
          <w:sz w:val="28"/>
          <w:szCs w:val="28"/>
        </w:rPr>
        <w:t>助学生树立正确的世界观、人生观、价值观，增强艰苦创业和面</w:t>
      </w:r>
      <w:r>
        <w:rPr>
          <w:rFonts w:hint="eastAsia" w:ascii="宋体" w:hAnsi="宋体" w:eastAsia="宋体" w:cs="宋体"/>
          <w:sz w:val="28"/>
          <w:szCs w:val="28"/>
        </w:rPr>
        <w:t>向基层的意识，努力为国家经济社会建设服务。</w:t>
      </w:r>
    </w:p>
    <w:p>
      <w:pPr>
        <w:pStyle w:val="2"/>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534" w:firstLineChars="200"/>
        <w:jc w:val="both"/>
        <w:textAlignment w:val="auto"/>
        <w:rPr>
          <w:rFonts w:hint="eastAsia" w:ascii="宋体" w:hAnsi="宋体" w:eastAsia="宋体" w:cs="宋体"/>
          <w:sz w:val="28"/>
          <w:szCs w:val="28"/>
        </w:rPr>
      </w:pPr>
      <w:r>
        <w:rPr>
          <w:rFonts w:hint="eastAsia" w:ascii="宋体" w:hAnsi="宋体" w:eastAsia="宋体" w:cs="宋体"/>
          <w:w w:val="95"/>
          <w:sz w:val="28"/>
          <w:szCs w:val="28"/>
        </w:rPr>
        <w:t>二、推荐对象及名额</w:t>
      </w:r>
    </w:p>
    <w:p>
      <w:pPr>
        <w:pStyle w:val="3"/>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532" w:firstLineChars="200"/>
        <w:jc w:val="both"/>
        <w:textAlignment w:val="auto"/>
        <w:rPr>
          <w:rFonts w:hint="eastAsia" w:ascii="宋体" w:hAnsi="宋体" w:eastAsia="宋体" w:cs="宋体"/>
          <w:sz w:val="28"/>
          <w:szCs w:val="28"/>
        </w:rPr>
      </w:pPr>
      <w:r>
        <w:rPr>
          <w:rFonts w:hint="eastAsia" w:ascii="宋体" w:hAnsi="宋体" w:eastAsia="宋体" w:cs="宋体"/>
          <w:w w:val="95"/>
          <w:sz w:val="28"/>
          <w:szCs w:val="28"/>
        </w:rPr>
        <w:t>评选对象为本院应届本科毕业生。校级优秀毕业生的推荐</w:t>
      </w:r>
      <w:r>
        <w:rPr>
          <w:rFonts w:hint="eastAsia" w:ascii="宋体" w:hAnsi="宋体" w:eastAsia="宋体" w:cs="宋体"/>
          <w:spacing w:val="-2"/>
          <w:sz w:val="28"/>
          <w:szCs w:val="28"/>
        </w:rPr>
        <w:t>名额为各班毕业生总数的</w:t>
      </w:r>
      <w:r>
        <w:rPr>
          <w:rFonts w:hint="eastAsia" w:ascii="宋体" w:hAnsi="宋体" w:eastAsia="宋体" w:cs="宋体"/>
          <w:sz w:val="28"/>
          <w:szCs w:val="28"/>
        </w:rPr>
        <w:t>20%；在校级优秀毕业生基础上，推荐参评省级优秀毕业生，名额以学校分配的比例为准。</w:t>
      </w:r>
    </w:p>
    <w:p>
      <w:pPr>
        <w:pStyle w:val="2"/>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534" w:firstLineChars="200"/>
        <w:jc w:val="both"/>
        <w:textAlignment w:val="auto"/>
        <w:rPr>
          <w:rFonts w:hint="eastAsia" w:ascii="宋体" w:hAnsi="宋体" w:eastAsia="宋体" w:cs="宋体"/>
          <w:sz w:val="28"/>
          <w:szCs w:val="28"/>
        </w:rPr>
      </w:pPr>
      <w:r>
        <w:rPr>
          <w:rFonts w:hint="eastAsia" w:ascii="宋体" w:hAnsi="宋体" w:eastAsia="宋体" w:cs="宋体"/>
          <w:w w:val="95"/>
          <w:sz w:val="28"/>
          <w:szCs w:val="28"/>
        </w:rPr>
        <w:t>三、评选条件及加分细则</w:t>
      </w:r>
    </w:p>
    <w:p>
      <w:pPr>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562" w:firstLineChars="200"/>
        <w:jc w:val="both"/>
        <w:textAlignment w:val="auto"/>
        <w:rPr>
          <w:rFonts w:hint="eastAsia" w:ascii="宋体" w:hAnsi="宋体" w:eastAsia="宋体" w:cs="宋体"/>
          <w:b/>
          <w:sz w:val="28"/>
          <w:szCs w:val="28"/>
        </w:rPr>
      </w:pPr>
      <w:r>
        <w:rPr>
          <w:rFonts w:hint="eastAsia" w:ascii="宋体" w:hAnsi="宋体" w:eastAsia="宋体" w:cs="宋体"/>
          <w:b/>
          <w:sz w:val="28"/>
          <w:szCs w:val="28"/>
        </w:rPr>
        <w:t>（一）基本条件</w:t>
      </w:r>
    </w:p>
    <w:p>
      <w:pPr>
        <w:pStyle w:val="10"/>
        <w:keepNext w:val="0"/>
        <w:keepLines w:val="0"/>
        <w:pageBreakBefore w:val="0"/>
        <w:numPr>
          <w:ilvl w:val="0"/>
          <w:numId w:val="0"/>
        </w:numPr>
        <w:tabs>
          <w:tab w:val="left" w:pos="990"/>
        </w:tabs>
        <w:kinsoku/>
        <w:wordWrap/>
        <w:overflowPunct/>
        <w:topLinePunct w:val="0"/>
        <w:autoSpaceDE w:val="0"/>
        <w:autoSpaceDN w:val="0"/>
        <w:bidi w:val="0"/>
        <w:adjustRightInd w:val="0"/>
        <w:snapToGrid/>
        <w:spacing w:before="0" w:after="0" w:line="360" w:lineRule="auto"/>
        <w:ind w:leftChars="0" w:right="0" w:rightChars="0" w:firstLine="512" w:firstLineChars="200"/>
        <w:jc w:val="both"/>
        <w:textAlignment w:val="auto"/>
        <w:rPr>
          <w:rFonts w:hint="eastAsia" w:ascii="宋体" w:hAnsi="宋体" w:eastAsia="宋体" w:cs="宋体"/>
          <w:sz w:val="28"/>
          <w:szCs w:val="28"/>
        </w:rPr>
      </w:pPr>
      <w:r>
        <w:rPr>
          <w:rFonts w:hint="eastAsia" w:cs="宋体"/>
          <w:spacing w:val="-5"/>
          <w:w w:val="95"/>
          <w:sz w:val="28"/>
          <w:szCs w:val="28"/>
          <w:lang w:val="en-US" w:eastAsia="zh-CN"/>
        </w:rPr>
        <w:t>1.</w:t>
      </w:r>
      <w:r>
        <w:rPr>
          <w:rFonts w:hint="eastAsia" w:ascii="宋体" w:hAnsi="宋体" w:eastAsia="宋体" w:cs="宋体"/>
          <w:spacing w:val="-5"/>
          <w:w w:val="95"/>
          <w:sz w:val="28"/>
          <w:szCs w:val="28"/>
        </w:rPr>
        <w:t>能正确对待毕业就业工作，以国家、集体利益为重，有面</w:t>
      </w:r>
      <w:r>
        <w:rPr>
          <w:rFonts w:hint="eastAsia" w:ascii="宋体" w:hAnsi="宋体" w:eastAsia="宋体" w:cs="宋体"/>
          <w:sz w:val="28"/>
          <w:szCs w:val="28"/>
        </w:rPr>
        <w:t>向基层、服务基层的思想；</w:t>
      </w:r>
    </w:p>
    <w:p>
      <w:pPr>
        <w:pStyle w:val="10"/>
        <w:keepNext w:val="0"/>
        <w:keepLines w:val="0"/>
        <w:pageBreakBefore w:val="0"/>
        <w:numPr>
          <w:ilvl w:val="0"/>
          <w:numId w:val="0"/>
        </w:numPr>
        <w:tabs>
          <w:tab w:val="left" w:pos="990"/>
        </w:tabs>
        <w:kinsoku/>
        <w:wordWrap/>
        <w:overflowPunct/>
        <w:topLinePunct w:val="0"/>
        <w:autoSpaceDE w:val="0"/>
        <w:autoSpaceDN w:val="0"/>
        <w:bidi w:val="0"/>
        <w:adjustRightInd w:val="0"/>
        <w:snapToGrid/>
        <w:spacing w:before="0" w:after="0" w:line="360" w:lineRule="auto"/>
        <w:ind w:leftChars="0" w:right="0" w:rightChars="0" w:firstLine="532" w:firstLineChars="200"/>
        <w:jc w:val="both"/>
        <w:textAlignment w:val="auto"/>
        <w:rPr>
          <w:rFonts w:hint="eastAsia" w:ascii="宋体" w:hAnsi="宋体" w:eastAsia="宋体" w:cs="宋体"/>
          <w:sz w:val="28"/>
          <w:szCs w:val="28"/>
        </w:rPr>
      </w:pPr>
      <w:r>
        <w:rPr>
          <w:rFonts w:hint="eastAsia" w:cs="宋体"/>
          <w:w w:val="95"/>
          <w:sz w:val="28"/>
          <w:szCs w:val="28"/>
          <w:lang w:val="en-US" w:eastAsia="zh-CN"/>
        </w:rPr>
        <w:t>2.</w:t>
      </w:r>
      <w:r>
        <w:rPr>
          <w:rFonts w:hint="eastAsia" w:ascii="宋体" w:hAnsi="宋体" w:eastAsia="宋体" w:cs="宋体"/>
          <w:w w:val="95"/>
          <w:sz w:val="28"/>
          <w:szCs w:val="28"/>
        </w:rPr>
        <w:t>计算机达到等级要求，外语达到规定要求。</w:t>
      </w:r>
    </w:p>
    <w:p>
      <w:pPr>
        <w:pStyle w:val="2"/>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562"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（二）校级优秀毕业生</w:t>
      </w:r>
    </w:p>
    <w:p>
      <w:pPr>
        <w:pStyle w:val="3"/>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532" w:firstLineChars="200"/>
        <w:jc w:val="both"/>
        <w:textAlignment w:val="auto"/>
        <w:rPr>
          <w:rFonts w:hint="eastAsia" w:ascii="宋体" w:hAnsi="宋体" w:eastAsia="宋体" w:cs="宋体"/>
          <w:sz w:val="28"/>
          <w:szCs w:val="28"/>
        </w:rPr>
      </w:pPr>
      <w:r>
        <w:rPr>
          <w:rFonts w:hint="eastAsia" w:ascii="宋体" w:hAnsi="宋体" w:eastAsia="宋体" w:cs="宋体"/>
          <w:w w:val="95"/>
          <w:sz w:val="28"/>
          <w:szCs w:val="28"/>
        </w:rPr>
        <w:t>在满足基本条件的基础上，符合以下条件：</w:t>
      </w:r>
    </w:p>
    <w:p>
      <w:pPr>
        <w:pStyle w:val="3"/>
        <w:keepNext w:val="0"/>
        <w:keepLines w:val="0"/>
        <w:pageBreakBefore w:val="0"/>
        <w:numPr>
          <w:ilvl w:val="0"/>
          <w:numId w:val="0"/>
        </w:numPr>
        <w:kinsoku/>
        <w:wordWrap/>
        <w:overflowPunct/>
        <w:topLinePunct w:val="0"/>
        <w:autoSpaceDE w:val="0"/>
        <w:autoSpaceDN w:val="0"/>
        <w:bidi w:val="0"/>
        <w:adjustRightInd w:val="0"/>
        <w:snapToGrid/>
        <w:spacing w:before="0" w:after="0" w:line="360" w:lineRule="auto"/>
        <w:ind w:left="0" w:leftChars="0" w:right="0" w:rightChars="0" w:firstLine="560" w:firstLineChars="200"/>
        <w:jc w:val="both"/>
        <w:textAlignment w:val="auto"/>
        <w:rPr>
          <w:rFonts w:hint="eastAsia" w:ascii="宋体" w:hAnsi="宋体" w:eastAsia="宋体" w:cs="宋体"/>
          <w:sz w:val="28"/>
          <w:szCs w:val="28"/>
        </w:rPr>
      </w:pPr>
      <w:r>
        <w:rPr>
          <w:rFonts w:hint="eastAsia" w:cs="宋体"/>
          <w:sz w:val="28"/>
          <w:szCs w:val="28"/>
          <w:lang w:val="en-US" w:eastAsia="zh-CN"/>
        </w:rPr>
        <w:t>1.</w:t>
      </w:r>
      <w:r>
        <w:rPr>
          <w:rFonts w:hint="eastAsia" w:ascii="宋体" w:hAnsi="宋体" w:eastAsia="宋体" w:cs="宋体"/>
          <w:sz w:val="28"/>
          <w:szCs w:val="28"/>
        </w:rPr>
        <w:t>曾获校级优秀党务工作者、优秀共产党员、</w:t>
      </w:r>
      <w:r>
        <w:rPr>
          <w:rFonts w:hint="eastAsia" w:ascii="宋体" w:hAnsi="宋体" w:eastAsia="宋体" w:cs="宋体"/>
          <w:w w:val="95"/>
          <w:sz w:val="28"/>
          <w:szCs w:val="28"/>
        </w:rPr>
        <w:t>三好学生、优秀学生干部、</w:t>
      </w:r>
      <w:r>
        <w:rPr>
          <w:rFonts w:hint="eastAsia" w:ascii="宋体" w:hAnsi="宋体" w:eastAsia="宋体" w:cs="宋体"/>
          <w:sz w:val="28"/>
          <w:szCs w:val="28"/>
        </w:rPr>
        <w:t>优秀学生奖学金、优秀共青团干部、优秀共青团员或市级及以</w:t>
      </w:r>
      <w:r>
        <w:rPr>
          <w:rFonts w:hint="eastAsia" w:ascii="宋体" w:hAnsi="宋体" w:eastAsia="宋体" w:cs="宋体"/>
          <w:w w:val="95"/>
          <w:sz w:val="28"/>
          <w:szCs w:val="28"/>
        </w:rPr>
        <w:t>上荣誉称号（综合荣誉）</w:t>
      </w:r>
      <w:r>
        <w:rPr>
          <w:rFonts w:hint="eastAsia" w:ascii="宋体" w:hAnsi="宋体" w:eastAsia="宋体" w:cs="宋体"/>
          <w:spacing w:val="8"/>
          <w:w w:val="95"/>
          <w:sz w:val="28"/>
          <w:szCs w:val="28"/>
        </w:rPr>
        <w:t>等</w:t>
      </w:r>
      <w:r>
        <w:rPr>
          <w:rFonts w:hint="eastAsia" w:ascii="宋体" w:hAnsi="宋体" w:eastAsia="宋体" w:cs="宋体"/>
          <w:w w:val="95"/>
          <w:sz w:val="28"/>
          <w:szCs w:val="28"/>
        </w:rPr>
        <w:t>2次（项）</w:t>
      </w:r>
      <w:r>
        <w:rPr>
          <w:rFonts w:hint="eastAsia" w:ascii="宋体" w:hAnsi="宋体" w:eastAsia="宋体" w:cs="宋体"/>
          <w:w w:val="95"/>
          <w:sz w:val="28"/>
          <w:szCs w:val="28"/>
          <w:lang w:val="en-US" w:eastAsia="zh-CN"/>
        </w:rPr>
        <w:t>及</w:t>
      </w:r>
      <w:r>
        <w:rPr>
          <w:rFonts w:hint="eastAsia" w:ascii="宋体" w:hAnsi="宋体" w:eastAsia="宋体" w:cs="宋体"/>
          <w:w w:val="95"/>
          <w:sz w:val="28"/>
          <w:szCs w:val="28"/>
        </w:rPr>
        <w:t>以上，且在校期</w:t>
      </w:r>
      <w:r>
        <w:rPr>
          <w:rFonts w:hint="eastAsia" w:ascii="宋体" w:hAnsi="宋体" w:eastAsia="宋体" w:cs="宋体"/>
          <w:spacing w:val="-6"/>
          <w:w w:val="95"/>
          <w:sz w:val="28"/>
          <w:szCs w:val="28"/>
        </w:rPr>
        <w:t>间的获奖总积分列年级前</w:t>
      </w:r>
      <w:r>
        <w:rPr>
          <w:rFonts w:hint="eastAsia" w:ascii="宋体" w:hAnsi="宋体" w:eastAsia="宋体" w:cs="宋体"/>
          <w:w w:val="95"/>
          <w:sz w:val="28"/>
          <w:szCs w:val="28"/>
        </w:rPr>
        <w:t>35%；</w:t>
      </w:r>
    </w:p>
    <w:p>
      <w:pPr>
        <w:pStyle w:val="10"/>
        <w:keepNext w:val="0"/>
        <w:keepLines w:val="0"/>
        <w:pageBreakBefore w:val="0"/>
        <w:numPr>
          <w:ilvl w:val="0"/>
          <w:numId w:val="0"/>
        </w:numPr>
        <w:tabs>
          <w:tab w:val="left" w:pos="990"/>
        </w:tabs>
        <w:kinsoku/>
        <w:wordWrap/>
        <w:overflowPunct/>
        <w:topLinePunct w:val="0"/>
        <w:autoSpaceDE w:val="0"/>
        <w:autoSpaceDN w:val="0"/>
        <w:bidi w:val="0"/>
        <w:adjustRightInd w:val="0"/>
        <w:snapToGrid/>
        <w:spacing w:before="0" w:after="0" w:line="360" w:lineRule="auto"/>
        <w:ind w:left="0" w:leftChars="0" w:right="0" w:rightChars="0" w:firstLine="532" w:firstLineChars="200"/>
        <w:jc w:val="both"/>
        <w:textAlignment w:val="auto"/>
        <w:rPr>
          <w:rFonts w:hint="eastAsia" w:ascii="宋体" w:hAnsi="宋体" w:eastAsia="宋体" w:cs="宋体"/>
          <w:sz w:val="28"/>
          <w:szCs w:val="28"/>
        </w:rPr>
      </w:pPr>
      <w:r>
        <w:rPr>
          <w:rFonts w:hint="eastAsia" w:cs="宋体"/>
          <w:w w:val="95"/>
          <w:sz w:val="28"/>
          <w:szCs w:val="28"/>
          <w:lang w:val="en-US" w:eastAsia="zh-CN"/>
        </w:rPr>
        <w:t>2.</w:t>
      </w:r>
      <w:r>
        <w:rPr>
          <w:rFonts w:hint="eastAsia" w:ascii="宋体" w:hAnsi="宋体" w:eastAsia="宋体" w:cs="宋体"/>
          <w:w w:val="95"/>
          <w:sz w:val="28"/>
          <w:szCs w:val="28"/>
          <w:lang w:val="en-US" w:eastAsia="zh-CN"/>
        </w:rPr>
        <w:t>学习成绩优异，学习总成绩列同专业年级（或班级）前35%，毕业生实习成绩优良，计算机达到等级要求，外语达到规定要求，师范类学生普通话水平达到相应等级要求；</w:t>
      </w:r>
    </w:p>
    <w:p>
      <w:pPr>
        <w:pStyle w:val="10"/>
        <w:keepNext w:val="0"/>
        <w:keepLines w:val="0"/>
        <w:pageBreakBefore w:val="0"/>
        <w:numPr>
          <w:ilvl w:val="0"/>
          <w:numId w:val="0"/>
        </w:numPr>
        <w:tabs>
          <w:tab w:val="left" w:pos="990"/>
        </w:tabs>
        <w:kinsoku/>
        <w:wordWrap/>
        <w:overflowPunct/>
        <w:topLinePunct w:val="0"/>
        <w:autoSpaceDE w:val="0"/>
        <w:autoSpaceDN w:val="0"/>
        <w:bidi w:val="0"/>
        <w:adjustRightInd w:val="0"/>
        <w:snapToGrid/>
        <w:spacing w:before="0" w:after="0" w:line="360" w:lineRule="auto"/>
        <w:ind w:left="0" w:leftChars="0" w:right="0" w:rightChars="0" w:firstLine="532" w:firstLineChars="200"/>
        <w:jc w:val="both"/>
        <w:textAlignment w:val="auto"/>
        <w:rPr>
          <w:rFonts w:hint="eastAsia" w:ascii="宋体" w:hAnsi="宋体" w:eastAsia="宋体" w:cs="宋体"/>
          <w:sz w:val="28"/>
          <w:szCs w:val="28"/>
        </w:rPr>
      </w:pPr>
      <w:r>
        <w:rPr>
          <w:rFonts w:hint="eastAsia" w:cs="宋体"/>
          <w:w w:val="95"/>
          <w:sz w:val="28"/>
          <w:szCs w:val="28"/>
          <w:lang w:val="en-US" w:eastAsia="zh-CN"/>
        </w:rPr>
        <w:t>3.</w:t>
      </w:r>
      <w:r>
        <w:rPr>
          <w:rFonts w:hint="eastAsia" w:ascii="宋体" w:hAnsi="宋体" w:eastAsia="宋体" w:cs="宋体"/>
          <w:w w:val="95"/>
          <w:sz w:val="28"/>
          <w:szCs w:val="28"/>
        </w:rPr>
        <w:t>二年制专升本和第二学士学位学生评选校级优秀毕业生，</w:t>
      </w:r>
      <w:r>
        <w:rPr>
          <w:rFonts w:hint="eastAsia" w:ascii="宋体" w:hAnsi="宋体" w:eastAsia="宋体" w:cs="宋体"/>
          <w:sz w:val="28"/>
          <w:szCs w:val="28"/>
        </w:rPr>
        <w:t>按第一、第二学期成绩为基数评选时，如符合评选条件的学生已达到规定的指标数，评选条件不变；如符合评选条件的学生数达不到规定的指标数，则空缺指标的评选时间可顺延至下个学期初，且可以前三个学期成绩为基数评选。如以三个学期</w:t>
      </w:r>
      <w:r>
        <w:rPr>
          <w:rFonts w:hint="eastAsia" w:ascii="宋体" w:hAnsi="宋体" w:eastAsia="宋体" w:cs="宋体"/>
          <w:spacing w:val="-8"/>
          <w:w w:val="95"/>
          <w:sz w:val="28"/>
          <w:szCs w:val="28"/>
        </w:rPr>
        <w:t>成绩为基数评选，符合评选条件的学生仍未达到规定的指标数，</w:t>
      </w:r>
      <w:r>
        <w:rPr>
          <w:rFonts w:hint="eastAsia" w:ascii="宋体" w:hAnsi="宋体" w:eastAsia="宋体" w:cs="宋体"/>
          <w:sz w:val="28"/>
          <w:szCs w:val="28"/>
        </w:rPr>
        <w:t>则可将其在前一学历教育阶段获得的校级优秀毕业生及以上荣誉视作符合评选条件之一；</w:t>
      </w:r>
    </w:p>
    <w:p>
      <w:pPr>
        <w:pStyle w:val="10"/>
        <w:keepNext w:val="0"/>
        <w:keepLines w:val="0"/>
        <w:pageBreakBefore w:val="0"/>
        <w:numPr>
          <w:ilvl w:val="0"/>
          <w:numId w:val="0"/>
        </w:numPr>
        <w:tabs>
          <w:tab w:val="left" w:pos="990"/>
        </w:tabs>
        <w:kinsoku/>
        <w:wordWrap/>
        <w:overflowPunct/>
        <w:topLinePunct w:val="0"/>
        <w:autoSpaceDE w:val="0"/>
        <w:autoSpaceDN w:val="0"/>
        <w:bidi w:val="0"/>
        <w:adjustRightInd w:val="0"/>
        <w:snapToGrid/>
        <w:spacing w:before="0" w:after="0" w:line="360" w:lineRule="auto"/>
        <w:ind w:left="0" w:leftChars="0" w:right="0" w:rightChars="0" w:firstLine="496" w:firstLineChars="200"/>
        <w:jc w:val="both"/>
        <w:textAlignment w:val="auto"/>
        <w:rPr>
          <w:rFonts w:hint="eastAsia" w:cs="宋体"/>
          <w:sz w:val="28"/>
          <w:szCs w:val="28"/>
          <w:lang w:eastAsia="zh-CN"/>
        </w:rPr>
      </w:pPr>
      <w:r>
        <w:rPr>
          <w:rFonts w:hint="eastAsia" w:cs="宋体"/>
          <w:spacing w:val="-9"/>
          <w:w w:val="95"/>
          <w:sz w:val="28"/>
          <w:szCs w:val="28"/>
          <w:lang w:val="en-US" w:eastAsia="zh-CN"/>
        </w:rPr>
        <w:t>4.</w:t>
      </w:r>
      <w:r>
        <w:rPr>
          <w:rFonts w:hint="eastAsia" w:ascii="宋体" w:hAnsi="宋体" w:eastAsia="宋体" w:cs="宋体"/>
          <w:spacing w:val="-9"/>
          <w:w w:val="95"/>
          <w:sz w:val="28"/>
          <w:szCs w:val="28"/>
        </w:rPr>
        <w:t>对在学科竞赛等方面特别优秀的学生，同时符合以下条件：</w:t>
      </w:r>
      <w:r>
        <w:rPr>
          <w:rFonts w:hint="eastAsia" w:ascii="宋体" w:hAnsi="宋体" w:eastAsia="宋体" w:cs="宋体"/>
          <w:spacing w:val="15"/>
          <w:sz w:val="28"/>
          <w:szCs w:val="28"/>
        </w:rPr>
        <w:t>获奖积分或平均学分绩点排名或综合测评排名列同专业年级</w:t>
      </w:r>
      <w:r>
        <w:rPr>
          <w:rFonts w:hint="eastAsia" w:ascii="宋体" w:hAnsi="宋体" w:eastAsia="宋体" w:cs="宋体"/>
          <w:sz w:val="28"/>
          <w:szCs w:val="28"/>
        </w:rPr>
        <w:t>（或班级）</w:t>
      </w:r>
      <w:r>
        <w:rPr>
          <w:rFonts w:hint="eastAsia" w:ascii="宋体" w:hAnsi="宋体" w:eastAsia="宋体" w:cs="宋体"/>
          <w:spacing w:val="-16"/>
          <w:sz w:val="28"/>
          <w:szCs w:val="28"/>
        </w:rPr>
        <w:t>前</w:t>
      </w:r>
      <w:r>
        <w:rPr>
          <w:rFonts w:hint="eastAsia" w:ascii="宋体" w:hAnsi="宋体" w:eastAsia="宋体" w:cs="宋体"/>
          <w:sz w:val="28"/>
          <w:szCs w:val="28"/>
        </w:rPr>
        <w:t>50%，获得学校认定的学科竞赛一类省级最高级</w:t>
      </w:r>
      <w:r>
        <w:rPr>
          <w:rFonts w:hint="eastAsia" w:ascii="宋体" w:hAnsi="宋体" w:eastAsia="宋体" w:cs="宋体"/>
          <w:spacing w:val="-13"/>
          <w:w w:val="95"/>
          <w:sz w:val="28"/>
          <w:szCs w:val="28"/>
        </w:rPr>
        <w:t>别、全国二等及以上奖项</w:t>
      </w:r>
      <w:r>
        <w:rPr>
          <w:rFonts w:hint="eastAsia" w:ascii="宋体" w:hAnsi="宋体" w:eastAsia="宋体" w:cs="宋体"/>
          <w:w w:val="95"/>
          <w:sz w:val="28"/>
          <w:szCs w:val="28"/>
        </w:rPr>
        <w:t>（</w:t>
      </w:r>
      <w:r>
        <w:rPr>
          <w:rFonts w:hint="eastAsia" w:ascii="宋体" w:hAnsi="宋体" w:eastAsia="宋体" w:cs="宋体"/>
          <w:spacing w:val="-11"/>
          <w:w w:val="95"/>
          <w:sz w:val="28"/>
          <w:szCs w:val="28"/>
        </w:rPr>
        <w:t>团队限排名第一者；如有特等奖，则</w:t>
      </w:r>
      <w:r>
        <w:rPr>
          <w:rFonts w:hint="eastAsia" w:ascii="宋体" w:hAnsi="宋体" w:eastAsia="宋体" w:cs="宋体"/>
          <w:w w:val="95"/>
          <w:sz w:val="28"/>
          <w:szCs w:val="28"/>
        </w:rPr>
        <w:t>取特等奖和一等奖；艺体类学科竞赛参照课程加分标准同等认定）或省级及以上主管部门评选的综合荣誉，学院学院将向学</w:t>
      </w:r>
      <w:r>
        <w:rPr>
          <w:rFonts w:hint="eastAsia" w:ascii="宋体" w:hAnsi="宋体" w:eastAsia="宋体" w:cs="宋体"/>
          <w:spacing w:val="-17"/>
          <w:w w:val="95"/>
          <w:sz w:val="28"/>
          <w:szCs w:val="28"/>
        </w:rPr>
        <w:t>校进行推荐，由学生处审核，校学生评优评奖委员会审议，决定</w:t>
      </w:r>
      <w:r>
        <w:rPr>
          <w:rFonts w:hint="eastAsia" w:ascii="宋体" w:hAnsi="宋体" w:eastAsia="宋体" w:cs="宋体"/>
          <w:sz w:val="28"/>
          <w:szCs w:val="28"/>
        </w:rPr>
        <w:t>是否具有评选校级优秀毕业生资格</w:t>
      </w:r>
      <w:r>
        <w:rPr>
          <w:rFonts w:hint="eastAsia" w:cs="宋体"/>
          <w:sz w:val="28"/>
          <w:szCs w:val="28"/>
          <w:lang w:eastAsia="zh-CN"/>
        </w:rPr>
        <w:t>。</w:t>
      </w:r>
    </w:p>
    <w:p>
      <w:pPr>
        <w:pStyle w:val="10"/>
        <w:keepNext w:val="0"/>
        <w:keepLines w:val="0"/>
        <w:pageBreakBefore w:val="0"/>
        <w:numPr>
          <w:ilvl w:val="0"/>
          <w:numId w:val="0"/>
        </w:numPr>
        <w:tabs>
          <w:tab w:val="left" w:pos="990"/>
        </w:tabs>
        <w:kinsoku/>
        <w:wordWrap/>
        <w:overflowPunct/>
        <w:topLinePunct w:val="0"/>
        <w:autoSpaceDE w:val="0"/>
        <w:autoSpaceDN w:val="0"/>
        <w:bidi w:val="0"/>
        <w:adjustRightInd w:val="0"/>
        <w:snapToGrid/>
        <w:spacing w:before="0" w:after="0" w:line="360" w:lineRule="auto"/>
        <w:ind w:left="0" w:leftChars="0" w:right="0" w:rightChars="0" w:firstLine="484" w:firstLineChars="200"/>
        <w:jc w:val="both"/>
        <w:textAlignment w:val="auto"/>
        <w:rPr>
          <w:rFonts w:hint="eastAsia" w:ascii="宋体" w:hAnsi="宋体" w:eastAsia="宋体" w:cs="宋体"/>
          <w:sz w:val="28"/>
          <w:szCs w:val="28"/>
        </w:rPr>
      </w:pPr>
      <w:r>
        <w:rPr>
          <w:rFonts w:hint="eastAsia" w:cs="宋体"/>
          <w:spacing w:val="-12"/>
          <w:w w:val="95"/>
          <w:sz w:val="28"/>
          <w:szCs w:val="28"/>
          <w:lang w:val="en-US" w:eastAsia="zh-CN"/>
        </w:rPr>
        <w:t>5.</w:t>
      </w:r>
      <w:r>
        <w:rPr>
          <w:rFonts w:hint="eastAsia" w:ascii="宋体" w:hAnsi="宋体" w:eastAsia="宋体" w:cs="宋体"/>
          <w:spacing w:val="-12"/>
          <w:w w:val="95"/>
          <w:sz w:val="28"/>
          <w:szCs w:val="28"/>
          <w:lang w:val="en-US" w:eastAsia="zh-CN"/>
        </w:rPr>
        <w:t>.</w:t>
      </w:r>
      <w:r>
        <w:rPr>
          <w:rFonts w:hint="eastAsia" w:ascii="宋体" w:hAnsi="宋体" w:eastAsia="宋体" w:cs="宋体"/>
          <w:spacing w:val="-12"/>
          <w:w w:val="95"/>
          <w:sz w:val="28"/>
          <w:szCs w:val="28"/>
        </w:rPr>
        <w:t>对因工作需要，通过组织选派服务一学期及以上，或在某</w:t>
      </w:r>
      <w:r>
        <w:rPr>
          <w:rFonts w:hint="eastAsia" w:ascii="宋体" w:hAnsi="宋体" w:eastAsia="宋体" w:cs="宋体"/>
          <w:w w:val="95"/>
          <w:sz w:val="28"/>
          <w:szCs w:val="28"/>
        </w:rPr>
        <w:t>一方面表现特别突出、有显著成绩或贡献的学生，经校学生评</w:t>
      </w:r>
      <w:r>
        <w:rPr>
          <w:rFonts w:hint="eastAsia" w:ascii="宋体" w:hAnsi="宋体" w:eastAsia="宋体" w:cs="宋体"/>
          <w:sz w:val="28"/>
          <w:szCs w:val="28"/>
        </w:rPr>
        <w:t>优评奖委员会审议，可直接入选校级优秀毕业生。</w:t>
      </w:r>
    </w:p>
    <w:p>
      <w:pPr>
        <w:pStyle w:val="2"/>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562"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（三）</w:t>
      </w:r>
      <w:r>
        <w:rPr>
          <w:rFonts w:hint="eastAsia" w:ascii="宋体" w:hAnsi="宋体" w:eastAsia="宋体" w:cs="宋体"/>
          <w:spacing w:val="7"/>
          <w:sz w:val="28"/>
          <w:szCs w:val="28"/>
        </w:rPr>
        <w:t>省级优秀毕业生</w:t>
      </w:r>
    </w:p>
    <w:p>
      <w:pPr>
        <w:pStyle w:val="3"/>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532" w:firstLineChars="200"/>
        <w:jc w:val="both"/>
        <w:textAlignment w:val="auto"/>
        <w:rPr>
          <w:rFonts w:hint="eastAsia" w:ascii="宋体" w:hAnsi="宋体" w:eastAsia="宋体" w:cs="宋体"/>
          <w:sz w:val="28"/>
          <w:szCs w:val="28"/>
        </w:rPr>
      </w:pPr>
      <w:r>
        <w:rPr>
          <w:rFonts w:hint="eastAsia" w:ascii="宋体" w:hAnsi="宋体" w:eastAsia="宋体" w:cs="宋体"/>
          <w:w w:val="95"/>
          <w:sz w:val="28"/>
          <w:szCs w:val="28"/>
        </w:rPr>
        <w:t>满足校级优秀毕业生条件的基础上，还需符合以下条件：</w:t>
      </w:r>
    </w:p>
    <w:p>
      <w:pPr>
        <w:pStyle w:val="10"/>
        <w:keepNext w:val="0"/>
        <w:keepLines w:val="0"/>
        <w:pageBreakBefore w:val="0"/>
        <w:numPr>
          <w:ilvl w:val="0"/>
          <w:numId w:val="0"/>
        </w:numPr>
        <w:tabs>
          <w:tab w:val="left" w:pos="990"/>
        </w:tabs>
        <w:kinsoku/>
        <w:wordWrap/>
        <w:overflowPunct/>
        <w:topLinePunct w:val="0"/>
        <w:autoSpaceDE w:val="0"/>
        <w:autoSpaceDN w:val="0"/>
        <w:bidi w:val="0"/>
        <w:adjustRightInd w:val="0"/>
        <w:snapToGrid/>
        <w:spacing w:before="0" w:after="0" w:line="360" w:lineRule="auto"/>
        <w:ind w:leftChars="0" w:right="0" w:rightChars="0" w:firstLine="520" w:firstLineChars="200"/>
        <w:jc w:val="both"/>
        <w:textAlignment w:val="auto"/>
        <w:rPr>
          <w:rFonts w:hint="eastAsia" w:ascii="宋体" w:hAnsi="宋体" w:eastAsia="宋体" w:cs="宋体"/>
          <w:sz w:val="28"/>
          <w:szCs w:val="28"/>
          <w:lang w:eastAsia="zh-CN"/>
        </w:rPr>
      </w:pPr>
      <w:r>
        <w:rPr>
          <w:rFonts w:hint="eastAsia" w:ascii="宋体" w:hAnsi="宋体" w:eastAsia="宋体" w:cs="宋体"/>
          <w:spacing w:val="-3"/>
          <w:w w:val="95"/>
          <w:sz w:val="28"/>
          <w:szCs w:val="28"/>
        </w:rPr>
        <w:t>获得校级及以上优秀党务工作者、优秀共产党员、</w:t>
      </w:r>
      <w:r>
        <w:rPr>
          <w:rFonts w:hint="eastAsia" w:ascii="宋体" w:hAnsi="宋体" w:eastAsia="宋体" w:cs="宋体"/>
          <w:w w:val="95"/>
          <w:sz w:val="28"/>
          <w:szCs w:val="28"/>
        </w:rPr>
        <w:t>“马云青春领袖奖”十佳大学生、三好学生、优秀学生干部或优秀共青</w:t>
      </w:r>
      <w:r>
        <w:rPr>
          <w:rFonts w:hint="eastAsia" w:ascii="宋体" w:hAnsi="宋体" w:eastAsia="宋体" w:cs="宋体"/>
          <w:spacing w:val="-1"/>
          <w:sz w:val="28"/>
          <w:szCs w:val="28"/>
        </w:rPr>
        <w:t xml:space="preserve">团干部、市级及以上优秀共青团员等荣誉称号 </w:t>
      </w:r>
      <w:r>
        <w:rPr>
          <w:rFonts w:hint="eastAsia" w:ascii="宋体" w:hAnsi="宋体" w:eastAsia="宋体" w:cs="宋体"/>
          <w:sz w:val="28"/>
          <w:szCs w:val="28"/>
        </w:rPr>
        <w:t>2</w:t>
      </w:r>
      <w:r>
        <w:rPr>
          <w:rFonts w:hint="eastAsia" w:ascii="宋体" w:hAnsi="宋体" w:eastAsia="宋体" w:cs="宋体"/>
          <w:spacing w:val="7"/>
          <w:sz w:val="28"/>
          <w:szCs w:val="28"/>
        </w:rPr>
        <w:t xml:space="preserve"> </w:t>
      </w:r>
      <w:r>
        <w:rPr>
          <w:rFonts w:hint="eastAsia" w:ascii="宋体" w:hAnsi="宋体" w:eastAsia="宋体" w:cs="宋体"/>
          <w:sz w:val="28"/>
          <w:szCs w:val="28"/>
        </w:rPr>
        <w:t>次（项）及以上</w:t>
      </w:r>
      <w:r>
        <w:rPr>
          <w:rFonts w:hint="eastAsia" w:cs="宋体"/>
          <w:sz w:val="28"/>
          <w:szCs w:val="28"/>
          <w:lang w:eastAsia="zh-CN"/>
        </w:rPr>
        <w:t>。</w:t>
      </w:r>
      <w:bookmarkStart w:id="0" w:name="_GoBack"/>
      <w:bookmarkEnd w:id="0"/>
    </w:p>
    <w:p>
      <w:pPr>
        <w:pStyle w:val="2"/>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562"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四</w:t>
      </w:r>
      <w:r>
        <w:rPr>
          <w:rFonts w:hint="eastAsia" w:ascii="宋体" w:hAnsi="宋体" w:eastAsia="宋体" w:cs="宋体"/>
          <w:sz w:val="28"/>
          <w:szCs w:val="28"/>
        </w:rPr>
        <w:t>）</w:t>
      </w:r>
      <w:r>
        <w:rPr>
          <w:rFonts w:hint="eastAsia" w:ascii="宋体" w:hAnsi="宋体" w:eastAsia="宋体" w:cs="宋体"/>
          <w:spacing w:val="7"/>
          <w:sz w:val="28"/>
          <w:szCs w:val="28"/>
          <w:lang w:val="en-US" w:eastAsia="zh-CN"/>
        </w:rPr>
        <w:t>院级</w:t>
      </w:r>
      <w:r>
        <w:rPr>
          <w:rFonts w:hint="eastAsia" w:ascii="宋体" w:hAnsi="宋体" w:eastAsia="宋体" w:cs="宋体"/>
          <w:spacing w:val="7"/>
          <w:sz w:val="28"/>
          <w:szCs w:val="28"/>
        </w:rPr>
        <w:t>优秀毕业生</w:t>
      </w:r>
    </w:p>
    <w:p>
      <w:pPr>
        <w:pStyle w:val="4"/>
        <w:keepNext w:val="0"/>
        <w:keepLines w:val="0"/>
        <w:pageBreakBefore w:val="0"/>
        <w:widowControl/>
        <w:shd w:val="clear" w:color="auto" w:fill="FFFFFF"/>
        <w:kinsoku/>
        <w:wordWrap/>
        <w:overflowPunct/>
        <w:topLinePunct w:val="0"/>
        <w:autoSpaceDE w:val="0"/>
        <w:autoSpaceDN w:val="0"/>
        <w:bidi w:val="0"/>
        <w:adjustRightInd w:val="0"/>
        <w:snapToGrid/>
        <w:spacing w:before="0" w:after="0" w:line="360" w:lineRule="auto"/>
        <w:ind w:left="0" w:leftChars="0" w:right="0" w:rightChars="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shd w:val="clear" w:color="auto" w:fill="FFFFFF"/>
          <w:lang w:val="en-US" w:eastAsia="zh-CN"/>
        </w:rPr>
        <w:t>1.</w:t>
      </w:r>
      <w:r>
        <w:rPr>
          <w:rFonts w:hint="eastAsia" w:ascii="宋体" w:hAnsi="宋体" w:eastAsia="宋体" w:cs="宋体"/>
          <w:color w:val="auto"/>
          <w:sz w:val="28"/>
          <w:szCs w:val="28"/>
          <w:shd w:val="clear" w:color="auto" w:fill="FFFFFF"/>
        </w:rPr>
        <w:t>在完成推荐省级优秀毕业生、校级优秀毕业生的基础上，</w:t>
      </w:r>
      <w:r>
        <w:rPr>
          <w:rFonts w:hint="eastAsia" w:ascii="宋体" w:hAnsi="宋体" w:eastAsia="宋体" w:cs="宋体"/>
          <w:color w:val="auto"/>
          <w:sz w:val="28"/>
          <w:szCs w:val="28"/>
          <w:shd w:val="clear" w:color="auto" w:fill="FFFFFF"/>
          <w:lang w:val="en-US" w:eastAsia="zh-CN"/>
        </w:rPr>
        <w:t>药学院</w:t>
      </w:r>
      <w:r>
        <w:rPr>
          <w:rFonts w:hint="eastAsia" w:ascii="宋体" w:hAnsi="宋体" w:eastAsia="宋体" w:cs="宋体"/>
          <w:color w:val="auto"/>
          <w:sz w:val="28"/>
          <w:szCs w:val="28"/>
          <w:shd w:val="clear" w:color="auto" w:fill="FFFFFF"/>
        </w:rPr>
        <w:t>另设院级优秀毕业生，名额为毕业生总人数的25%，并与省级优秀毕业生、校级优秀毕业生不兼得。</w:t>
      </w:r>
    </w:p>
    <w:p>
      <w:pPr>
        <w:pStyle w:val="4"/>
        <w:keepNext w:val="0"/>
        <w:keepLines w:val="0"/>
        <w:pageBreakBefore w:val="0"/>
        <w:widowControl/>
        <w:kinsoku/>
        <w:wordWrap/>
        <w:overflowPunct/>
        <w:topLinePunct w:val="0"/>
        <w:autoSpaceDE w:val="0"/>
        <w:autoSpaceDN w:val="0"/>
        <w:bidi w:val="0"/>
        <w:adjustRightInd w:val="0"/>
        <w:snapToGrid/>
        <w:spacing w:before="0" w:after="0" w:line="360" w:lineRule="auto"/>
        <w:ind w:left="0" w:leftChars="0" w:right="0" w:rightChars="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2.在校期间无重修课程。全程平均学分绩点3.0以上，列本专业（班级）前50%；</w:t>
      </w:r>
    </w:p>
    <w:p>
      <w:pPr>
        <w:pStyle w:val="4"/>
        <w:keepNext w:val="0"/>
        <w:keepLines w:val="0"/>
        <w:pageBreakBefore w:val="0"/>
        <w:widowControl/>
        <w:kinsoku/>
        <w:wordWrap/>
        <w:overflowPunct/>
        <w:topLinePunct w:val="0"/>
        <w:autoSpaceDE w:val="0"/>
        <w:autoSpaceDN w:val="0"/>
        <w:bidi w:val="0"/>
        <w:adjustRightInd w:val="0"/>
        <w:snapToGrid/>
        <w:spacing w:before="0" w:after="0" w:line="360" w:lineRule="auto"/>
        <w:ind w:left="0" w:leftChars="0" w:right="0" w:rightChars="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3.在党团活动、社会工作、学术科技竞赛、社会实践等方面表现优异，并获得过院级及以上奖励或荣誉即可参评；</w:t>
      </w:r>
    </w:p>
    <w:p>
      <w:pPr>
        <w:pStyle w:val="3"/>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4.在同等条件下，平均学分绩点较高者优先；获得省级以上学科竞赛等荣誉的，不受学业成绩限制，可作为突破名额推荐。</w:t>
      </w:r>
    </w:p>
    <w:p>
      <w:pPr>
        <w:pStyle w:val="3"/>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五</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积分原则</w:t>
      </w:r>
    </w:p>
    <w:p>
      <w:pPr>
        <w:pStyle w:val="10"/>
        <w:keepNext w:val="0"/>
        <w:keepLines w:val="0"/>
        <w:pageBreakBefore w:val="0"/>
        <w:numPr>
          <w:ilvl w:val="0"/>
          <w:numId w:val="0"/>
        </w:numPr>
        <w:tabs>
          <w:tab w:val="left" w:pos="990"/>
        </w:tabs>
        <w:kinsoku/>
        <w:wordWrap/>
        <w:overflowPunct/>
        <w:topLinePunct w:val="0"/>
        <w:autoSpaceDE w:val="0"/>
        <w:autoSpaceDN w:val="0"/>
        <w:bidi w:val="0"/>
        <w:adjustRightInd w:val="0"/>
        <w:snapToGrid/>
        <w:spacing w:before="0" w:after="0" w:line="360" w:lineRule="auto"/>
        <w:ind w:left="0" w:leftChars="0" w:right="0" w:righ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获奖积分加分</w:t>
      </w:r>
      <w:r>
        <w:rPr>
          <w:rFonts w:hint="eastAsia" w:cs="宋体"/>
          <w:color w:val="auto"/>
          <w:sz w:val="28"/>
          <w:szCs w:val="28"/>
          <w:lang w:val="en-US" w:eastAsia="zh-CN"/>
        </w:rPr>
        <w:t>具体见附件</w:t>
      </w:r>
      <w:r>
        <w:rPr>
          <w:rFonts w:hint="eastAsia" w:ascii="宋体" w:hAnsi="宋体" w:eastAsia="宋体" w:cs="宋体"/>
          <w:color w:val="auto"/>
          <w:sz w:val="28"/>
          <w:szCs w:val="28"/>
        </w:rPr>
        <w:t>：</w:t>
      </w:r>
    </w:p>
    <w:p>
      <w:pPr>
        <w:pStyle w:val="3"/>
        <w:keepNext w:val="0"/>
        <w:keepLines w:val="0"/>
        <w:pageBreakBefore w:val="0"/>
        <w:kinsoku/>
        <w:wordWrap/>
        <w:overflowPunct/>
        <w:topLinePunct w:val="0"/>
        <w:autoSpaceDE w:val="0"/>
        <w:autoSpaceDN w:val="0"/>
        <w:bidi w:val="0"/>
        <w:adjustRightInd w:val="0"/>
        <w:snapToGrid/>
        <w:spacing w:before="0" w:after="0" w:line="360" w:lineRule="auto"/>
        <w:ind w:right="0" w:rightChars="0" w:firstLine="484"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pacing w:val="-12"/>
          <w:w w:val="95"/>
          <w:sz w:val="28"/>
          <w:szCs w:val="28"/>
          <w:lang w:val="en-US" w:eastAsia="zh-CN"/>
        </w:rPr>
        <w:t>2.</w:t>
      </w:r>
      <w:r>
        <w:rPr>
          <w:rFonts w:hint="eastAsia" w:ascii="宋体" w:hAnsi="宋体" w:eastAsia="宋体" w:cs="宋体"/>
          <w:color w:val="auto"/>
          <w:spacing w:val="-12"/>
          <w:w w:val="95"/>
          <w:sz w:val="28"/>
          <w:szCs w:val="28"/>
        </w:rPr>
        <w:t>在获奖总积分相同的条件下，优先考虑平均学分绩点高者</w:t>
      </w:r>
      <w:r>
        <w:rPr>
          <w:rFonts w:hint="eastAsia" w:cs="宋体"/>
          <w:color w:val="auto"/>
          <w:spacing w:val="-12"/>
          <w:w w:val="95"/>
          <w:sz w:val="28"/>
          <w:szCs w:val="28"/>
          <w:lang w:eastAsia="zh-CN"/>
        </w:rPr>
        <w:t>。</w:t>
      </w:r>
    </w:p>
    <w:p>
      <w:pPr>
        <w:pStyle w:val="2"/>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534"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w w:val="95"/>
          <w:sz w:val="28"/>
          <w:szCs w:val="28"/>
        </w:rPr>
        <w:t>四、评选方法</w:t>
      </w:r>
    </w:p>
    <w:p>
      <w:pPr>
        <w:pStyle w:val="10"/>
        <w:keepNext w:val="0"/>
        <w:keepLines w:val="0"/>
        <w:pageBreakBefore w:val="0"/>
        <w:numPr>
          <w:ilvl w:val="0"/>
          <w:numId w:val="0"/>
        </w:numPr>
        <w:tabs>
          <w:tab w:val="left" w:pos="995"/>
        </w:tabs>
        <w:kinsoku/>
        <w:wordWrap/>
        <w:overflowPunct/>
        <w:topLinePunct w:val="0"/>
        <w:autoSpaceDE w:val="0"/>
        <w:autoSpaceDN w:val="0"/>
        <w:bidi w:val="0"/>
        <w:adjustRightInd w:val="0"/>
        <w:snapToGrid/>
        <w:spacing w:before="0" w:after="0" w:line="360" w:lineRule="auto"/>
        <w:ind w:leftChars="0" w:right="0" w:rightChars="0" w:firstLine="560" w:firstLineChars="200"/>
        <w:jc w:val="both"/>
        <w:textAlignment w:val="auto"/>
        <w:rPr>
          <w:rFonts w:hint="eastAsia" w:ascii="宋体" w:hAnsi="宋体" w:eastAsia="宋体" w:cs="宋体"/>
          <w:color w:val="auto"/>
          <w:sz w:val="28"/>
          <w:szCs w:val="28"/>
        </w:rPr>
      </w:pPr>
      <w:r>
        <w:rPr>
          <w:rFonts w:hint="eastAsia" w:cs="宋体"/>
          <w:color w:val="auto"/>
          <w:sz w:val="28"/>
          <w:szCs w:val="28"/>
          <w:lang w:val="en-US" w:eastAsia="zh-CN"/>
        </w:rPr>
        <w:t>1.</w:t>
      </w:r>
      <w:r>
        <w:rPr>
          <w:rFonts w:hint="eastAsia" w:ascii="宋体" w:hAnsi="宋体" w:eastAsia="宋体" w:cs="宋体"/>
          <w:color w:val="auto"/>
          <w:sz w:val="28"/>
          <w:szCs w:val="28"/>
        </w:rPr>
        <w:t>班级评选小组具体负责各级优秀毕业生的材料审核和初</w:t>
      </w:r>
      <w:r>
        <w:rPr>
          <w:rFonts w:hint="eastAsia" w:ascii="宋体" w:hAnsi="宋体" w:eastAsia="宋体" w:cs="宋体"/>
          <w:color w:val="auto"/>
          <w:spacing w:val="-9"/>
          <w:w w:val="95"/>
          <w:sz w:val="28"/>
          <w:szCs w:val="28"/>
        </w:rPr>
        <w:t>步评选工作；学院评议小组酝酿和推荐各级优秀毕业生的名单；</w:t>
      </w:r>
      <w:r>
        <w:rPr>
          <w:rFonts w:hint="eastAsia" w:ascii="宋体" w:hAnsi="宋体" w:eastAsia="宋体" w:cs="宋体"/>
          <w:color w:val="auto"/>
          <w:sz w:val="28"/>
          <w:szCs w:val="28"/>
        </w:rPr>
        <w:t>学院评优评奖工作领导小组终审评议各级优秀毕业获奖名单并报学校审批。</w:t>
      </w:r>
    </w:p>
    <w:p>
      <w:pPr>
        <w:pStyle w:val="10"/>
        <w:keepNext w:val="0"/>
        <w:keepLines w:val="0"/>
        <w:pageBreakBefore w:val="0"/>
        <w:numPr>
          <w:ilvl w:val="0"/>
          <w:numId w:val="0"/>
        </w:numPr>
        <w:tabs>
          <w:tab w:val="left" w:pos="990"/>
        </w:tabs>
        <w:kinsoku/>
        <w:wordWrap/>
        <w:overflowPunct/>
        <w:topLinePunct w:val="0"/>
        <w:autoSpaceDE w:val="0"/>
        <w:autoSpaceDN w:val="0"/>
        <w:bidi w:val="0"/>
        <w:adjustRightInd w:val="0"/>
        <w:snapToGrid/>
        <w:spacing w:before="0" w:after="0" w:line="360" w:lineRule="auto"/>
        <w:ind w:leftChars="0" w:right="0" w:rightChars="0" w:firstLine="532" w:firstLineChars="200"/>
        <w:jc w:val="both"/>
        <w:textAlignment w:val="auto"/>
        <w:rPr>
          <w:rFonts w:hint="eastAsia" w:ascii="宋体" w:hAnsi="宋体" w:eastAsia="宋体" w:cs="宋体"/>
          <w:color w:val="auto"/>
          <w:sz w:val="28"/>
          <w:szCs w:val="28"/>
        </w:rPr>
      </w:pPr>
      <w:r>
        <w:rPr>
          <w:rFonts w:hint="eastAsia" w:cs="宋体"/>
          <w:color w:val="auto"/>
          <w:w w:val="95"/>
          <w:sz w:val="28"/>
          <w:szCs w:val="28"/>
          <w:lang w:val="en-US" w:eastAsia="zh-CN"/>
        </w:rPr>
        <w:t>2.</w:t>
      </w:r>
      <w:r>
        <w:rPr>
          <w:rFonts w:hint="eastAsia" w:ascii="宋体" w:hAnsi="宋体" w:eastAsia="宋体" w:cs="宋体"/>
          <w:color w:val="auto"/>
          <w:w w:val="95"/>
          <w:sz w:val="28"/>
          <w:szCs w:val="28"/>
        </w:rPr>
        <w:t>评选工作要遵循“评选条件标准公开，人数名额公开，程</w:t>
      </w:r>
      <w:r>
        <w:rPr>
          <w:rFonts w:hint="eastAsia" w:ascii="宋体" w:hAnsi="宋体" w:eastAsia="宋体" w:cs="宋体"/>
          <w:color w:val="auto"/>
          <w:spacing w:val="-8"/>
          <w:w w:val="95"/>
          <w:sz w:val="28"/>
          <w:szCs w:val="28"/>
        </w:rPr>
        <w:t>序办法公开，评选结果公开</w:t>
      </w:r>
      <w:r>
        <w:rPr>
          <w:rFonts w:hint="eastAsia" w:ascii="宋体" w:hAnsi="宋体" w:eastAsia="宋体" w:cs="宋体"/>
          <w:color w:val="auto"/>
          <w:w w:val="95"/>
          <w:sz w:val="28"/>
          <w:szCs w:val="28"/>
        </w:rPr>
        <w:t>”</w:t>
      </w:r>
      <w:r>
        <w:rPr>
          <w:rFonts w:hint="eastAsia" w:ascii="宋体" w:hAnsi="宋体" w:eastAsia="宋体" w:cs="宋体"/>
          <w:color w:val="auto"/>
          <w:spacing w:val="-13"/>
          <w:w w:val="95"/>
          <w:sz w:val="28"/>
          <w:szCs w:val="28"/>
        </w:rPr>
        <w:t>的原</w:t>
      </w:r>
      <w:r>
        <w:rPr>
          <w:rFonts w:hint="eastAsia" w:ascii="宋体" w:hAnsi="宋体" w:eastAsia="宋体" w:cs="宋体"/>
          <w:color w:val="auto"/>
          <w:spacing w:val="-8"/>
          <w:w w:val="95"/>
          <w:sz w:val="28"/>
          <w:szCs w:val="28"/>
        </w:rPr>
        <w:t>则。在评选过程中，按照“在符合申报条件的前提下，优先考虑获奖积分高者；相同积分者，优先考虑平均学分绩点高者”的原则进行评选。评选结果和人选名单公示不少于5个自然日，如师生有异议，学院在接到异议材料的 2 个自然日内予以答复，如情况属实，将做出相应调整。</w:t>
      </w:r>
    </w:p>
    <w:p>
      <w:pPr>
        <w:pStyle w:val="10"/>
        <w:keepNext w:val="0"/>
        <w:keepLines w:val="0"/>
        <w:pageBreakBefore w:val="0"/>
        <w:numPr>
          <w:ilvl w:val="0"/>
          <w:numId w:val="0"/>
        </w:numPr>
        <w:tabs>
          <w:tab w:val="left" w:pos="990"/>
        </w:tabs>
        <w:kinsoku/>
        <w:wordWrap/>
        <w:overflowPunct/>
        <w:topLinePunct w:val="0"/>
        <w:autoSpaceDE w:val="0"/>
        <w:autoSpaceDN w:val="0"/>
        <w:bidi w:val="0"/>
        <w:adjustRightInd w:val="0"/>
        <w:snapToGrid/>
        <w:spacing w:before="0" w:after="0" w:line="360" w:lineRule="auto"/>
        <w:ind w:leftChars="0" w:right="0" w:rightChars="0" w:firstLine="532" w:firstLineChars="200"/>
        <w:jc w:val="both"/>
        <w:textAlignment w:val="auto"/>
        <w:rPr>
          <w:rFonts w:hint="eastAsia" w:ascii="宋体" w:hAnsi="宋体" w:eastAsia="宋体" w:cs="宋体"/>
          <w:color w:val="auto"/>
          <w:sz w:val="28"/>
          <w:szCs w:val="28"/>
        </w:rPr>
      </w:pPr>
      <w:r>
        <w:rPr>
          <w:rFonts w:hint="eastAsia" w:cs="宋体"/>
          <w:color w:val="auto"/>
          <w:w w:val="95"/>
          <w:sz w:val="28"/>
          <w:szCs w:val="28"/>
          <w:lang w:val="en-US" w:eastAsia="zh-CN"/>
        </w:rPr>
        <w:t>3.</w:t>
      </w:r>
      <w:r>
        <w:rPr>
          <w:rFonts w:hint="eastAsia" w:ascii="宋体" w:hAnsi="宋体" w:eastAsia="宋体" w:cs="宋体"/>
          <w:color w:val="auto"/>
          <w:w w:val="95"/>
          <w:sz w:val="28"/>
          <w:szCs w:val="28"/>
        </w:rPr>
        <w:t>由省教育厅和学校分别颁发“优秀毕业生证书</w:t>
      </w:r>
      <w:r>
        <w:rPr>
          <w:rFonts w:hint="eastAsia" w:ascii="宋体" w:hAnsi="宋体" w:eastAsia="宋体" w:cs="宋体"/>
          <w:color w:val="auto"/>
          <w:spacing w:val="-55"/>
          <w:w w:val="95"/>
          <w:sz w:val="28"/>
          <w:szCs w:val="28"/>
        </w:rPr>
        <w:t>”</w:t>
      </w:r>
      <w:r>
        <w:rPr>
          <w:rFonts w:hint="eastAsia" w:ascii="宋体" w:hAnsi="宋体" w:eastAsia="宋体" w:cs="宋体"/>
          <w:color w:val="auto"/>
          <w:spacing w:val="-12"/>
          <w:w w:val="95"/>
          <w:sz w:val="28"/>
          <w:szCs w:val="28"/>
        </w:rPr>
        <w:t>，优秀毕业</w:t>
      </w:r>
      <w:r>
        <w:rPr>
          <w:rFonts w:hint="eastAsia" w:ascii="宋体" w:hAnsi="宋体" w:eastAsia="宋体" w:cs="宋体"/>
          <w:color w:val="auto"/>
          <w:sz w:val="28"/>
          <w:szCs w:val="28"/>
        </w:rPr>
        <w:t>生表彰将在毕业典礼时进行。</w:t>
      </w:r>
    </w:p>
    <w:p>
      <w:pPr>
        <w:pStyle w:val="2"/>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534" w:firstLineChars="200"/>
        <w:jc w:val="both"/>
        <w:textAlignment w:val="auto"/>
        <w:rPr>
          <w:rFonts w:hint="eastAsia" w:ascii="宋体" w:hAnsi="宋体" w:eastAsia="宋体" w:cs="宋体"/>
          <w:b/>
          <w:sz w:val="28"/>
          <w:szCs w:val="28"/>
        </w:rPr>
      </w:pPr>
      <w:r>
        <w:rPr>
          <w:rFonts w:hint="eastAsia" w:ascii="宋体" w:hAnsi="宋体" w:eastAsia="宋体" w:cs="宋体"/>
          <w:w w:val="95"/>
          <w:sz w:val="28"/>
          <w:szCs w:val="28"/>
        </w:rPr>
        <w:t>五、本办法自公布之日起施行，由学院学工办负责解释，</w:t>
      </w:r>
      <w:r>
        <w:rPr>
          <w:rFonts w:hint="eastAsia" w:ascii="宋体" w:hAnsi="宋体" w:eastAsia="宋体" w:cs="宋体"/>
          <w:b/>
          <w:w w:val="95"/>
          <w:sz w:val="28"/>
          <w:szCs w:val="28"/>
        </w:rPr>
        <w:t>原办法同时废止。</w:t>
      </w:r>
    </w:p>
    <w:p>
      <w:pPr>
        <w:pStyle w:val="3"/>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0"/>
        <w:jc w:val="both"/>
        <w:textAlignment w:val="auto"/>
        <w:rPr>
          <w:rFonts w:hint="eastAsia" w:ascii="宋体" w:hAnsi="宋体" w:eastAsia="宋体" w:cs="宋体"/>
          <w:b/>
          <w:sz w:val="28"/>
          <w:szCs w:val="28"/>
        </w:rPr>
      </w:pPr>
    </w:p>
    <w:p>
      <w:pPr>
        <w:pStyle w:val="3"/>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0"/>
        <w:jc w:val="right"/>
        <w:textAlignment w:val="auto"/>
        <w:rPr>
          <w:rFonts w:hint="eastAsia" w:ascii="宋体" w:hAnsi="宋体" w:eastAsia="宋体" w:cs="宋体"/>
          <w:sz w:val="28"/>
          <w:szCs w:val="28"/>
          <w:lang w:eastAsia="zh-CN"/>
        </w:rPr>
      </w:pPr>
      <w:r>
        <w:rPr>
          <w:rFonts w:hint="eastAsia" w:ascii="宋体" w:hAnsi="宋体" w:eastAsia="宋体" w:cs="宋体"/>
          <w:w w:val="95"/>
          <w:sz w:val="28"/>
          <w:szCs w:val="28"/>
        </w:rPr>
        <w:t>杭州师范大学</w:t>
      </w:r>
      <w:r>
        <w:rPr>
          <w:rFonts w:hint="eastAsia" w:ascii="宋体" w:hAnsi="宋体" w:eastAsia="宋体" w:cs="宋体"/>
          <w:w w:val="95"/>
          <w:sz w:val="28"/>
          <w:szCs w:val="28"/>
          <w:lang w:eastAsia="zh-CN"/>
        </w:rPr>
        <w:t>药学院</w:t>
      </w:r>
    </w:p>
    <w:p>
      <w:pPr>
        <w:pStyle w:val="3"/>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0"/>
        <w:jc w:val="right"/>
        <w:textAlignment w:val="auto"/>
        <w:rPr>
          <w:rFonts w:hint="eastAsia" w:ascii="宋体" w:hAnsi="宋体" w:eastAsia="宋体" w:cs="宋体"/>
          <w:w w:val="95"/>
          <w:sz w:val="28"/>
          <w:szCs w:val="28"/>
        </w:rPr>
      </w:pPr>
      <w:r>
        <w:rPr>
          <w:rFonts w:hint="eastAsia" w:cs="宋体"/>
          <w:w w:val="95"/>
          <w:sz w:val="28"/>
          <w:szCs w:val="28"/>
          <w:lang w:val="en-US" w:eastAsia="zh-CN"/>
        </w:rPr>
        <w:t xml:space="preserve">   </w:t>
      </w:r>
      <w:r>
        <w:rPr>
          <w:rFonts w:hint="eastAsia" w:ascii="宋体" w:hAnsi="宋体" w:eastAsia="宋体" w:cs="宋体"/>
          <w:w w:val="95"/>
          <w:sz w:val="28"/>
          <w:szCs w:val="28"/>
        </w:rPr>
        <w:t>2022</w:t>
      </w:r>
      <w:r>
        <w:rPr>
          <w:rFonts w:hint="eastAsia" w:ascii="宋体" w:hAnsi="宋体" w:eastAsia="宋体" w:cs="宋体"/>
          <w:spacing w:val="25"/>
          <w:w w:val="95"/>
          <w:sz w:val="28"/>
          <w:szCs w:val="28"/>
        </w:rPr>
        <w:t xml:space="preserve"> </w:t>
      </w:r>
      <w:r>
        <w:rPr>
          <w:rFonts w:hint="eastAsia" w:ascii="宋体" w:hAnsi="宋体" w:eastAsia="宋体" w:cs="宋体"/>
          <w:spacing w:val="-26"/>
          <w:w w:val="95"/>
          <w:sz w:val="28"/>
          <w:szCs w:val="28"/>
        </w:rPr>
        <w:t xml:space="preserve">年 </w:t>
      </w:r>
      <w:r>
        <w:rPr>
          <w:rFonts w:hint="eastAsia" w:cs="宋体"/>
          <w:w w:val="95"/>
          <w:sz w:val="28"/>
          <w:szCs w:val="28"/>
          <w:lang w:val="en-US" w:eastAsia="zh-CN"/>
        </w:rPr>
        <w:t>10</w:t>
      </w:r>
      <w:r>
        <w:rPr>
          <w:rFonts w:hint="eastAsia" w:ascii="宋体" w:hAnsi="宋体" w:eastAsia="宋体" w:cs="宋体"/>
          <w:spacing w:val="-26"/>
          <w:w w:val="95"/>
          <w:sz w:val="28"/>
          <w:szCs w:val="28"/>
        </w:rPr>
        <w:t xml:space="preserve">月 </w:t>
      </w:r>
      <w:r>
        <w:rPr>
          <w:rFonts w:hint="eastAsia" w:ascii="宋体" w:hAnsi="宋体" w:eastAsia="宋体" w:cs="宋体"/>
          <w:w w:val="95"/>
          <w:sz w:val="28"/>
          <w:szCs w:val="28"/>
        </w:rPr>
        <w:t>1</w:t>
      </w:r>
      <w:r>
        <w:rPr>
          <w:rFonts w:hint="eastAsia" w:cs="宋体"/>
          <w:w w:val="95"/>
          <w:sz w:val="28"/>
          <w:szCs w:val="28"/>
          <w:lang w:val="en-US" w:eastAsia="zh-CN"/>
        </w:rPr>
        <w:t>8</w:t>
      </w:r>
      <w:r>
        <w:rPr>
          <w:rFonts w:hint="eastAsia" w:ascii="宋体" w:hAnsi="宋体" w:eastAsia="宋体" w:cs="宋体"/>
          <w:spacing w:val="24"/>
          <w:w w:val="95"/>
          <w:sz w:val="28"/>
          <w:szCs w:val="28"/>
        </w:rPr>
        <w:t xml:space="preserve"> </w:t>
      </w:r>
      <w:r>
        <w:rPr>
          <w:rFonts w:hint="eastAsia" w:ascii="宋体" w:hAnsi="宋体" w:eastAsia="宋体" w:cs="宋体"/>
          <w:w w:val="95"/>
          <w:sz w:val="28"/>
          <w:szCs w:val="28"/>
        </w:rPr>
        <w:t>日</w:t>
      </w:r>
    </w:p>
    <w:p>
      <w:pPr>
        <w:pStyle w:val="3"/>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0"/>
        <w:jc w:val="both"/>
        <w:textAlignment w:val="auto"/>
        <w:rPr>
          <w:rFonts w:hint="eastAsia" w:ascii="宋体" w:hAnsi="宋体" w:eastAsia="宋体" w:cs="宋体"/>
          <w:w w:val="95"/>
          <w:sz w:val="28"/>
          <w:szCs w:val="28"/>
        </w:rPr>
      </w:pPr>
    </w:p>
    <w:p>
      <w:pPr>
        <w:pStyle w:val="3"/>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0"/>
        <w:jc w:val="both"/>
        <w:textAlignment w:val="auto"/>
        <w:rPr>
          <w:rFonts w:hint="eastAsia" w:ascii="宋体" w:hAnsi="宋体" w:eastAsia="宋体" w:cs="宋体"/>
          <w:w w:val="95"/>
          <w:sz w:val="28"/>
          <w:szCs w:val="28"/>
        </w:rPr>
      </w:pPr>
    </w:p>
    <w:p>
      <w:pPr>
        <w:pStyle w:val="3"/>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0"/>
        <w:jc w:val="both"/>
        <w:textAlignment w:val="auto"/>
        <w:rPr>
          <w:rFonts w:hint="eastAsia" w:ascii="宋体" w:hAnsi="宋体" w:eastAsia="宋体" w:cs="宋体"/>
          <w:w w:val="95"/>
          <w:sz w:val="28"/>
          <w:szCs w:val="28"/>
        </w:rPr>
      </w:pPr>
    </w:p>
    <w:p>
      <w:pPr>
        <w:pStyle w:val="3"/>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0"/>
        <w:jc w:val="both"/>
        <w:textAlignment w:val="auto"/>
        <w:rPr>
          <w:rFonts w:hint="eastAsia" w:ascii="宋体" w:hAnsi="宋体" w:eastAsia="宋体" w:cs="宋体"/>
          <w:w w:val="95"/>
          <w:sz w:val="28"/>
          <w:szCs w:val="28"/>
        </w:rPr>
      </w:pPr>
    </w:p>
    <w:p>
      <w:pPr>
        <w:pStyle w:val="3"/>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0"/>
        <w:jc w:val="both"/>
        <w:textAlignment w:val="auto"/>
        <w:rPr>
          <w:rFonts w:hint="eastAsia" w:ascii="宋体" w:hAnsi="宋体" w:eastAsia="宋体" w:cs="宋体"/>
          <w:w w:val="95"/>
          <w:sz w:val="28"/>
          <w:szCs w:val="28"/>
        </w:rPr>
      </w:pPr>
    </w:p>
    <w:p>
      <w:pPr>
        <w:pStyle w:val="3"/>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0"/>
        <w:jc w:val="both"/>
        <w:textAlignment w:val="auto"/>
        <w:rPr>
          <w:rFonts w:hint="eastAsia" w:ascii="宋体" w:hAnsi="宋体" w:eastAsia="宋体" w:cs="宋体"/>
          <w:w w:val="95"/>
          <w:sz w:val="28"/>
          <w:szCs w:val="28"/>
        </w:rPr>
      </w:pPr>
    </w:p>
    <w:p>
      <w:pPr>
        <w:pStyle w:val="3"/>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0"/>
        <w:jc w:val="both"/>
        <w:textAlignment w:val="auto"/>
        <w:rPr>
          <w:rFonts w:hint="eastAsia" w:ascii="宋体" w:hAnsi="宋体" w:eastAsia="宋体" w:cs="宋体"/>
          <w:w w:val="95"/>
          <w:sz w:val="28"/>
          <w:szCs w:val="28"/>
        </w:rPr>
      </w:pPr>
    </w:p>
    <w:p>
      <w:pPr>
        <w:pStyle w:val="3"/>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0"/>
        <w:jc w:val="both"/>
        <w:textAlignment w:val="auto"/>
        <w:rPr>
          <w:rFonts w:hint="eastAsia" w:ascii="宋体" w:hAnsi="宋体" w:eastAsia="宋体" w:cs="宋体"/>
          <w:w w:val="95"/>
          <w:sz w:val="28"/>
          <w:szCs w:val="28"/>
        </w:rPr>
      </w:pPr>
    </w:p>
    <w:p>
      <w:pPr>
        <w:pStyle w:val="3"/>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0"/>
        <w:jc w:val="both"/>
        <w:textAlignment w:val="auto"/>
        <w:rPr>
          <w:rFonts w:hint="eastAsia" w:ascii="宋体" w:hAnsi="宋体" w:eastAsia="宋体" w:cs="宋体"/>
          <w:w w:val="95"/>
          <w:sz w:val="28"/>
          <w:szCs w:val="28"/>
          <w:lang w:val="en-US" w:eastAsia="zh-CN"/>
        </w:rPr>
      </w:pPr>
      <w:r>
        <w:rPr>
          <w:rFonts w:hint="eastAsia" w:ascii="宋体" w:hAnsi="宋体" w:eastAsia="宋体" w:cs="宋体"/>
          <w:w w:val="95"/>
          <w:sz w:val="28"/>
          <w:szCs w:val="28"/>
          <w:lang w:val="en-US" w:eastAsia="zh-CN"/>
        </w:rPr>
        <w:t>附件</w:t>
      </w:r>
      <w:r>
        <w:rPr>
          <w:rFonts w:hint="eastAsia" w:cs="宋体"/>
          <w:w w:val="95"/>
          <w:sz w:val="28"/>
          <w:szCs w:val="28"/>
          <w:lang w:val="en-US" w:eastAsia="zh-CN"/>
        </w:rPr>
        <w:t>1</w:t>
      </w:r>
      <w:r>
        <w:rPr>
          <w:rFonts w:hint="eastAsia" w:ascii="宋体" w:hAnsi="宋体" w:eastAsia="宋体" w:cs="宋体"/>
          <w:w w:val="95"/>
          <w:sz w:val="28"/>
          <w:szCs w:val="28"/>
          <w:lang w:val="en-US" w:eastAsia="zh-CN"/>
        </w:rPr>
        <w:t>：</w:t>
      </w:r>
    </w:p>
    <w:tbl>
      <w:tblPr>
        <w:tblStyle w:val="6"/>
        <w:tblpPr w:leftFromText="180" w:rightFromText="180" w:vertAnchor="text" w:horzAnchor="page" w:tblpX="1996" w:tblpY="608"/>
        <w:tblOverlap w:val="never"/>
        <w:tblW w:w="85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23"/>
        <w:gridCol w:w="1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07" w:hRule="atLeast"/>
        </w:trPr>
        <w:tc>
          <w:tcPr>
            <w:tcW w:w="6623" w:type="dxa"/>
            <w:vAlign w:val="top"/>
          </w:tcPr>
          <w:p>
            <w:pPr>
              <w:pStyle w:val="11"/>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0"/>
              <w:jc w:val="center"/>
              <w:textAlignment w:val="auto"/>
              <w:rPr>
                <w:rFonts w:hint="eastAsia" w:ascii="宋体" w:hAnsi="宋体" w:eastAsia="宋体" w:cs="宋体"/>
                <w:sz w:val="22"/>
                <w:szCs w:val="22"/>
              </w:rPr>
            </w:pPr>
            <w:r>
              <w:rPr>
                <w:rFonts w:hint="eastAsia" w:ascii="宋体" w:hAnsi="宋体" w:eastAsia="宋体" w:cs="宋体"/>
                <w:sz w:val="22"/>
                <w:szCs w:val="22"/>
              </w:rPr>
              <w:t>综合能力类别</w:t>
            </w:r>
          </w:p>
        </w:tc>
        <w:tc>
          <w:tcPr>
            <w:tcW w:w="1936" w:type="dxa"/>
            <w:vAlign w:val="top"/>
          </w:tcPr>
          <w:p>
            <w:pPr>
              <w:pStyle w:val="11"/>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0"/>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rPr>
              <w:t>积分</w:t>
            </w:r>
            <w:r>
              <w:rPr>
                <w:rFonts w:hint="eastAsia" w:ascii="宋体" w:hAnsi="宋体" w:eastAsia="宋体" w:cs="宋体"/>
                <w:sz w:val="22"/>
                <w:szCs w:val="22"/>
                <w:lang w:val="en-US" w:eastAsia="zh-CN"/>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trPr>
        <w:tc>
          <w:tcPr>
            <w:tcW w:w="6623" w:type="dxa"/>
            <w:vAlign w:val="top"/>
          </w:tcPr>
          <w:p>
            <w:pPr>
              <w:pStyle w:val="11"/>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0"/>
              <w:jc w:val="center"/>
              <w:textAlignment w:val="auto"/>
              <w:rPr>
                <w:rFonts w:hint="eastAsia" w:ascii="宋体" w:hAnsi="宋体" w:eastAsia="宋体" w:cs="宋体"/>
                <w:sz w:val="22"/>
                <w:szCs w:val="22"/>
              </w:rPr>
            </w:pPr>
            <w:r>
              <w:rPr>
                <w:rFonts w:hint="eastAsia" w:ascii="宋体" w:hAnsi="宋体" w:eastAsia="宋体" w:cs="宋体"/>
                <w:sz w:val="22"/>
                <w:szCs w:val="22"/>
              </w:rPr>
              <w:t>获全国十佳大学生、全国大学生年度人物、全国自强之星、优秀团员等国家级荣誉称号</w:t>
            </w:r>
          </w:p>
        </w:tc>
        <w:tc>
          <w:tcPr>
            <w:tcW w:w="1936" w:type="dxa"/>
            <w:vAlign w:val="top"/>
          </w:tcPr>
          <w:p>
            <w:pPr>
              <w:pStyle w:val="11"/>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0"/>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6623" w:type="dxa"/>
            <w:vAlign w:val="top"/>
          </w:tcPr>
          <w:p>
            <w:pPr>
              <w:pStyle w:val="11"/>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0"/>
              <w:jc w:val="center"/>
              <w:textAlignment w:val="auto"/>
              <w:rPr>
                <w:rFonts w:hint="eastAsia" w:ascii="宋体" w:hAnsi="宋体" w:eastAsia="宋体" w:cs="宋体"/>
                <w:sz w:val="22"/>
                <w:szCs w:val="22"/>
              </w:rPr>
            </w:pPr>
            <w:r>
              <w:rPr>
                <w:rFonts w:hint="eastAsia" w:ascii="宋体" w:hAnsi="宋体" w:eastAsia="宋体" w:cs="宋体"/>
                <w:spacing w:val="-20"/>
                <w:sz w:val="22"/>
                <w:szCs w:val="22"/>
              </w:rPr>
              <w:t>获浙江省十佳大学生提名、省级优秀党员、十佳大学生、三好学生、优秀学生干部</w:t>
            </w:r>
            <w:r>
              <w:rPr>
                <w:rFonts w:hint="eastAsia" w:ascii="宋体" w:hAnsi="宋体" w:eastAsia="宋体" w:cs="宋体"/>
                <w:sz w:val="22"/>
                <w:szCs w:val="22"/>
              </w:rPr>
              <w:t>优秀团员等省部级荣誉称号</w:t>
            </w:r>
          </w:p>
        </w:tc>
        <w:tc>
          <w:tcPr>
            <w:tcW w:w="1936" w:type="dxa"/>
            <w:vAlign w:val="top"/>
          </w:tcPr>
          <w:p>
            <w:pPr>
              <w:pStyle w:val="11"/>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0"/>
              <w:jc w:val="center"/>
              <w:textAlignment w:val="auto"/>
              <w:rPr>
                <w:rFonts w:hint="eastAsia" w:ascii="宋体" w:hAnsi="宋体" w:eastAsia="宋体" w:cs="宋体"/>
                <w:sz w:val="22"/>
                <w:szCs w:val="22"/>
                <w:lang w:eastAsia="zh-CN"/>
              </w:rPr>
            </w:pPr>
            <w:r>
              <w:rPr>
                <w:rFonts w:hint="eastAsia" w:ascii="宋体" w:hAnsi="宋体" w:eastAsia="宋体" w:cs="宋体"/>
                <w:sz w:val="22"/>
                <w:szCs w:val="22"/>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9" w:hRule="atLeast"/>
        </w:trPr>
        <w:tc>
          <w:tcPr>
            <w:tcW w:w="6623" w:type="dxa"/>
            <w:vAlign w:val="top"/>
          </w:tcPr>
          <w:p>
            <w:pPr>
              <w:pStyle w:val="11"/>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0"/>
              <w:jc w:val="center"/>
              <w:textAlignment w:val="auto"/>
              <w:rPr>
                <w:rFonts w:hint="eastAsia" w:ascii="宋体" w:hAnsi="宋体" w:eastAsia="宋体" w:cs="宋体"/>
                <w:sz w:val="22"/>
                <w:szCs w:val="22"/>
              </w:rPr>
            </w:pPr>
            <w:r>
              <w:rPr>
                <w:rFonts w:hint="eastAsia" w:ascii="宋体" w:hAnsi="宋体" w:eastAsia="宋体" w:cs="宋体"/>
                <w:sz w:val="22"/>
                <w:szCs w:val="22"/>
              </w:rPr>
              <w:t>获杭州市优秀团干部、优秀党员、十佳大学生、三好学生、优秀学生干部、优秀团员等市厅级荣誉称号</w:t>
            </w:r>
          </w:p>
        </w:tc>
        <w:tc>
          <w:tcPr>
            <w:tcW w:w="1936" w:type="dxa"/>
            <w:vAlign w:val="top"/>
          </w:tcPr>
          <w:p>
            <w:pPr>
              <w:pStyle w:val="11"/>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0"/>
              <w:jc w:val="center"/>
              <w:textAlignment w:val="auto"/>
              <w:rPr>
                <w:rFonts w:hint="eastAsia" w:ascii="宋体" w:hAnsi="宋体" w:eastAsia="宋体" w:cs="宋体"/>
                <w:sz w:val="22"/>
                <w:szCs w:val="22"/>
                <w:lang w:eastAsia="zh-CN"/>
              </w:rPr>
            </w:pPr>
            <w:r>
              <w:rPr>
                <w:rFonts w:hint="eastAsia" w:ascii="宋体" w:hAnsi="宋体" w:eastAsia="宋体" w:cs="宋体"/>
                <w:sz w:val="22"/>
                <w:szCs w:val="22"/>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4" w:hRule="atLeast"/>
        </w:trPr>
        <w:tc>
          <w:tcPr>
            <w:tcW w:w="6623" w:type="dxa"/>
            <w:vAlign w:val="top"/>
          </w:tcPr>
          <w:p>
            <w:pPr>
              <w:pStyle w:val="11"/>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0"/>
              <w:jc w:val="center"/>
              <w:textAlignment w:val="auto"/>
              <w:rPr>
                <w:rFonts w:hint="eastAsia" w:ascii="宋体" w:hAnsi="宋体" w:eastAsia="宋体" w:cs="宋体"/>
                <w:sz w:val="22"/>
                <w:szCs w:val="22"/>
                <w:lang w:eastAsia="zh-CN"/>
              </w:rPr>
            </w:pPr>
            <w:r>
              <w:rPr>
                <w:rFonts w:hint="eastAsia" w:ascii="宋体" w:hAnsi="宋体" w:eastAsia="宋体" w:cs="宋体"/>
                <w:sz w:val="22"/>
                <w:szCs w:val="22"/>
              </w:rPr>
              <w:t>获校级优秀党员、十佳大学生、经亨颐奖学金等校级层面竞争选拔的综合性荣誉</w:t>
            </w:r>
            <w:r>
              <w:rPr>
                <w:rFonts w:hint="eastAsia" w:cs="宋体"/>
                <w:sz w:val="22"/>
                <w:szCs w:val="22"/>
                <w:lang w:val="en-US" w:eastAsia="zh-CN"/>
              </w:rPr>
              <w:t>或</w:t>
            </w:r>
            <w:r>
              <w:rPr>
                <w:rFonts w:hint="eastAsia" w:ascii="宋体" w:hAnsi="宋体" w:eastAsia="宋体" w:cs="宋体"/>
                <w:sz w:val="22"/>
                <w:szCs w:val="22"/>
                <w:lang w:eastAsia="zh-CN"/>
              </w:rPr>
              <w:t>优秀学生一等奖学金</w:t>
            </w:r>
          </w:p>
        </w:tc>
        <w:tc>
          <w:tcPr>
            <w:tcW w:w="1936" w:type="dxa"/>
            <w:vAlign w:val="top"/>
          </w:tcPr>
          <w:p>
            <w:pPr>
              <w:pStyle w:val="11"/>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0"/>
              <w:jc w:val="center"/>
              <w:textAlignment w:val="auto"/>
              <w:rPr>
                <w:rFonts w:hint="eastAsia" w:ascii="宋体" w:hAnsi="宋体" w:eastAsia="宋体" w:cs="宋体"/>
                <w:sz w:val="22"/>
                <w:szCs w:val="22"/>
                <w:lang w:eastAsia="zh-CN"/>
              </w:rPr>
            </w:pPr>
            <w:r>
              <w:rPr>
                <w:rFonts w:hint="eastAsia" w:ascii="宋体" w:hAnsi="宋体" w:eastAsia="宋体" w:cs="宋体"/>
                <w:w w:val="100"/>
                <w:sz w:val="22"/>
                <w:szCs w:val="22"/>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7" w:hRule="atLeast"/>
        </w:trPr>
        <w:tc>
          <w:tcPr>
            <w:tcW w:w="6623" w:type="dxa"/>
            <w:vAlign w:val="top"/>
          </w:tcPr>
          <w:p>
            <w:pPr>
              <w:pStyle w:val="11"/>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0"/>
              <w:jc w:val="center"/>
              <w:textAlignment w:val="auto"/>
              <w:rPr>
                <w:rFonts w:hint="eastAsia" w:ascii="宋体" w:hAnsi="宋体" w:eastAsia="宋体" w:cs="宋体"/>
                <w:sz w:val="22"/>
                <w:szCs w:val="22"/>
              </w:rPr>
            </w:pPr>
            <w:r>
              <w:rPr>
                <w:rFonts w:hint="eastAsia" w:ascii="宋体" w:hAnsi="宋体" w:eastAsia="宋体" w:cs="宋体"/>
                <w:sz w:val="22"/>
                <w:szCs w:val="22"/>
              </w:rPr>
              <w:t>获国家奖学金或校十佳团干部、十佳团员、十佳志愿者（最美志愿者）等校级层面典型人物称号</w:t>
            </w:r>
          </w:p>
        </w:tc>
        <w:tc>
          <w:tcPr>
            <w:tcW w:w="1936" w:type="dxa"/>
            <w:vAlign w:val="top"/>
          </w:tcPr>
          <w:p>
            <w:pPr>
              <w:pStyle w:val="11"/>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0"/>
              <w:jc w:val="center"/>
              <w:textAlignment w:val="auto"/>
              <w:rPr>
                <w:rFonts w:hint="eastAsia" w:ascii="宋体" w:hAnsi="宋体" w:eastAsia="宋体" w:cs="宋体"/>
                <w:sz w:val="22"/>
                <w:szCs w:val="22"/>
                <w:lang w:eastAsia="zh-CN"/>
              </w:rPr>
            </w:pPr>
            <w:r>
              <w:rPr>
                <w:rFonts w:hint="eastAsia" w:ascii="宋体" w:hAnsi="宋体" w:eastAsia="宋体" w:cs="宋体"/>
                <w:w w:val="100"/>
                <w:sz w:val="22"/>
                <w:szCs w:val="22"/>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8" w:hRule="atLeast"/>
        </w:trPr>
        <w:tc>
          <w:tcPr>
            <w:tcW w:w="6623" w:type="dxa"/>
            <w:vAlign w:val="top"/>
          </w:tcPr>
          <w:p>
            <w:pPr>
              <w:pStyle w:val="11"/>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0"/>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rPr>
              <w:t>获省政府奖学金或校三好学生、优秀学生干部、优秀团干部等校级层面综合荣誉</w:t>
            </w:r>
            <w:r>
              <w:rPr>
                <w:rFonts w:hint="eastAsia" w:cs="宋体"/>
                <w:sz w:val="22"/>
                <w:szCs w:val="22"/>
                <w:lang w:val="en-US" w:eastAsia="zh-CN"/>
              </w:rPr>
              <w:t>或</w:t>
            </w:r>
            <w:r>
              <w:rPr>
                <w:rFonts w:hint="eastAsia" w:ascii="宋体" w:hAnsi="宋体" w:eastAsia="宋体" w:cs="宋体"/>
                <w:sz w:val="22"/>
                <w:szCs w:val="22"/>
                <w:lang w:eastAsia="zh-CN"/>
              </w:rPr>
              <w:t>优秀学生</w:t>
            </w:r>
            <w:r>
              <w:rPr>
                <w:rFonts w:hint="eastAsia" w:ascii="宋体" w:hAnsi="宋体" w:eastAsia="宋体" w:cs="宋体"/>
                <w:sz w:val="22"/>
                <w:szCs w:val="22"/>
                <w:lang w:val="en-US" w:eastAsia="zh-CN"/>
              </w:rPr>
              <w:t>二</w:t>
            </w:r>
            <w:r>
              <w:rPr>
                <w:rFonts w:hint="eastAsia" w:ascii="宋体" w:hAnsi="宋体" w:eastAsia="宋体" w:cs="宋体"/>
                <w:sz w:val="22"/>
                <w:szCs w:val="22"/>
                <w:lang w:eastAsia="zh-CN"/>
              </w:rPr>
              <w:t>等奖学金</w:t>
            </w:r>
          </w:p>
        </w:tc>
        <w:tc>
          <w:tcPr>
            <w:tcW w:w="1936" w:type="dxa"/>
            <w:vAlign w:val="top"/>
          </w:tcPr>
          <w:p>
            <w:pPr>
              <w:pStyle w:val="11"/>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0"/>
              <w:jc w:val="center"/>
              <w:textAlignment w:val="auto"/>
              <w:rPr>
                <w:rFonts w:hint="eastAsia" w:ascii="宋体" w:hAnsi="宋体" w:eastAsia="宋体" w:cs="宋体"/>
                <w:sz w:val="22"/>
                <w:szCs w:val="22"/>
                <w:lang w:eastAsia="zh-CN"/>
              </w:rPr>
            </w:pPr>
            <w:r>
              <w:rPr>
                <w:rFonts w:hint="eastAsia" w:ascii="宋体" w:hAnsi="宋体" w:eastAsia="宋体" w:cs="宋体"/>
                <w:w w:val="100"/>
                <w:sz w:val="22"/>
                <w:szCs w:val="22"/>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trPr>
        <w:tc>
          <w:tcPr>
            <w:tcW w:w="6623" w:type="dxa"/>
            <w:vAlign w:val="top"/>
          </w:tcPr>
          <w:p>
            <w:pPr>
              <w:pStyle w:val="11"/>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0"/>
              <w:jc w:val="center"/>
              <w:textAlignment w:val="auto"/>
              <w:rPr>
                <w:rFonts w:hint="eastAsia" w:ascii="宋体" w:hAnsi="宋体" w:eastAsia="宋体" w:cs="宋体"/>
                <w:sz w:val="22"/>
                <w:szCs w:val="22"/>
              </w:rPr>
            </w:pPr>
            <w:r>
              <w:rPr>
                <w:rFonts w:hint="eastAsia" w:ascii="宋体" w:hAnsi="宋体" w:eastAsia="宋体" w:cs="宋体"/>
                <w:sz w:val="22"/>
                <w:szCs w:val="22"/>
              </w:rPr>
              <w:t>获校级优秀团员</w:t>
            </w:r>
            <w:r>
              <w:rPr>
                <w:rFonts w:hint="eastAsia" w:cs="宋体"/>
                <w:sz w:val="22"/>
                <w:szCs w:val="22"/>
                <w:lang w:val="en-US" w:eastAsia="zh-CN"/>
              </w:rPr>
              <w:t>或</w:t>
            </w:r>
            <w:r>
              <w:rPr>
                <w:rFonts w:hint="eastAsia" w:ascii="宋体" w:hAnsi="宋体" w:eastAsia="宋体" w:cs="宋体"/>
                <w:sz w:val="22"/>
                <w:szCs w:val="22"/>
                <w:lang w:eastAsia="zh-CN"/>
              </w:rPr>
              <w:t>优秀学生</w:t>
            </w:r>
            <w:r>
              <w:rPr>
                <w:rFonts w:hint="eastAsia" w:ascii="宋体" w:hAnsi="宋体" w:eastAsia="宋体" w:cs="宋体"/>
                <w:sz w:val="22"/>
                <w:szCs w:val="22"/>
                <w:lang w:val="en-US" w:eastAsia="zh-CN"/>
              </w:rPr>
              <w:t>三</w:t>
            </w:r>
            <w:r>
              <w:rPr>
                <w:rFonts w:hint="eastAsia" w:ascii="宋体" w:hAnsi="宋体" w:eastAsia="宋体" w:cs="宋体"/>
                <w:sz w:val="22"/>
                <w:szCs w:val="22"/>
                <w:lang w:eastAsia="zh-CN"/>
              </w:rPr>
              <w:t>等奖学金</w:t>
            </w:r>
          </w:p>
        </w:tc>
        <w:tc>
          <w:tcPr>
            <w:tcW w:w="1936" w:type="dxa"/>
            <w:vAlign w:val="top"/>
          </w:tcPr>
          <w:p>
            <w:pPr>
              <w:pStyle w:val="11"/>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0"/>
              <w:jc w:val="center"/>
              <w:textAlignment w:val="auto"/>
              <w:rPr>
                <w:rFonts w:hint="eastAsia" w:ascii="宋体" w:hAnsi="宋体" w:eastAsia="宋体" w:cs="宋体"/>
                <w:sz w:val="22"/>
                <w:szCs w:val="22"/>
                <w:lang w:val="en-US" w:eastAsia="zh-CN"/>
              </w:rPr>
            </w:pPr>
            <w:r>
              <w:rPr>
                <w:rFonts w:hint="eastAsia" w:ascii="宋体" w:hAnsi="宋体" w:eastAsia="宋体" w:cs="宋体"/>
                <w:w w:val="100"/>
                <w:sz w:val="22"/>
                <w:szCs w:val="22"/>
                <w:lang w:val="en-US" w:eastAsia="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3" w:hRule="atLeast"/>
        </w:trPr>
        <w:tc>
          <w:tcPr>
            <w:tcW w:w="6623" w:type="dxa"/>
            <w:vAlign w:val="top"/>
          </w:tcPr>
          <w:p>
            <w:pPr>
              <w:pStyle w:val="11"/>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0"/>
              <w:jc w:val="center"/>
              <w:textAlignment w:val="auto"/>
              <w:rPr>
                <w:rFonts w:hint="eastAsia" w:ascii="宋体" w:hAnsi="宋体" w:eastAsia="宋体" w:cs="宋体"/>
                <w:sz w:val="22"/>
                <w:szCs w:val="22"/>
              </w:rPr>
            </w:pPr>
            <w:r>
              <w:rPr>
                <w:rFonts w:hint="eastAsia" w:ascii="宋体" w:hAnsi="宋体" w:eastAsia="宋体" w:cs="宋体"/>
                <w:sz w:val="22"/>
                <w:szCs w:val="22"/>
              </w:rPr>
              <w:t>参军入伍服兵役</w:t>
            </w:r>
          </w:p>
        </w:tc>
        <w:tc>
          <w:tcPr>
            <w:tcW w:w="1936" w:type="dxa"/>
            <w:vAlign w:val="top"/>
          </w:tcPr>
          <w:p>
            <w:pPr>
              <w:pStyle w:val="11"/>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0"/>
              <w:jc w:val="center"/>
              <w:textAlignment w:val="auto"/>
              <w:rPr>
                <w:rFonts w:hint="eastAsia" w:ascii="宋体" w:hAnsi="宋体" w:eastAsia="宋体" w:cs="宋体"/>
                <w:sz w:val="22"/>
                <w:szCs w:val="22"/>
              </w:rPr>
            </w:pPr>
            <w:r>
              <w:rPr>
                <w:rFonts w:hint="eastAsia" w:ascii="宋体" w:hAnsi="宋体" w:eastAsia="宋体" w:cs="宋体"/>
                <w:w w:val="100"/>
                <w:sz w:val="22"/>
                <w:szCs w:val="22"/>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3" w:hRule="atLeast"/>
        </w:trPr>
        <w:tc>
          <w:tcPr>
            <w:tcW w:w="6623" w:type="dxa"/>
            <w:vAlign w:val="top"/>
          </w:tcPr>
          <w:p>
            <w:pPr>
              <w:pStyle w:val="11"/>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0"/>
              <w:jc w:val="center"/>
              <w:textAlignment w:val="auto"/>
              <w:rPr>
                <w:rFonts w:hint="eastAsia" w:ascii="宋体" w:hAnsi="宋体" w:eastAsia="宋体" w:cs="宋体"/>
                <w:sz w:val="22"/>
                <w:szCs w:val="22"/>
              </w:rPr>
            </w:pPr>
            <w:r>
              <w:rPr>
                <w:rFonts w:hint="eastAsia" w:ascii="宋体" w:hAnsi="宋体" w:eastAsia="宋体" w:cs="宋体"/>
                <w:sz w:val="22"/>
                <w:szCs w:val="22"/>
              </w:rPr>
              <w:t>参与国际组织实习</w:t>
            </w:r>
          </w:p>
        </w:tc>
        <w:tc>
          <w:tcPr>
            <w:tcW w:w="1936" w:type="dxa"/>
            <w:vAlign w:val="top"/>
          </w:tcPr>
          <w:p>
            <w:pPr>
              <w:pStyle w:val="11"/>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0"/>
              <w:jc w:val="center"/>
              <w:textAlignment w:val="auto"/>
              <w:rPr>
                <w:rFonts w:hint="eastAsia" w:ascii="宋体" w:hAnsi="宋体" w:eastAsia="宋体" w:cs="宋体"/>
                <w:sz w:val="22"/>
                <w:szCs w:val="22"/>
              </w:rPr>
            </w:pPr>
            <w:r>
              <w:rPr>
                <w:rFonts w:hint="eastAsia" w:ascii="宋体" w:hAnsi="宋体" w:eastAsia="宋体" w:cs="宋体"/>
                <w:w w:val="100"/>
                <w:sz w:val="22"/>
                <w:szCs w:val="22"/>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9" w:hRule="atLeast"/>
        </w:trPr>
        <w:tc>
          <w:tcPr>
            <w:tcW w:w="6623" w:type="dxa"/>
            <w:vAlign w:val="top"/>
          </w:tcPr>
          <w:p>
            <w:pPr>
              <w:pStyle w:val="11"/>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0"/>
              <w:jc w:val="center"/>
              <w:textAlignment w:val="auto"/>
              <w:rPr>
                <w:rFonts w:hint="eastAsia" w:ascii="宋体" w:hAnsi="宋体" w:eastAsia="宋体" w:cs="宋体"/>
                <w:sz w:val="22"/>
                <w:szCs w:val="22"/>
              </w:rPr>
            </w:pPr>
            <w:r>
              <w:rPr>
                <w:rFonts w:hint="eastAsia" w:ascii="宋体" w:hAnsi="宋体" w:eastAsia="宋体" w:cs="宋体"/>
                <w:sz w:val="22"/>
                <w:szCs w:val="22"/>
              </w:rPr>
              <w:t>优秀大学生暑期夏令营“优秀营员”（多项不累计）</w:t>
            </w:r>
          </w:p>
        </w:tc>
        <w:tc>
          <w:tcPr>
            <w:tcW w:w="1936" w:type="dxa"/>
            <w:vAlign w:val="top"/>
          </w:tcPr>
          <w:p>
            <w:pPr>
              <w:pStyle w:val="11"/>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0"/>
              <w:jc w:val="center"/>
              <w:textAlignment w:val="auto"/>
              <w:rPr>
                <w:rFonts w:hint="eastAsia" w:ascii="宋体" w:hAnsi="宋体" w:eastAsia="宋体" w:cs="宋体"/>
                <w:sz w:val="22"/>
                <w:szCs w:val="22"/>
              </w:rPr>
            </w:pPr>
            <w:r>
              <w:rPr>
                <w:rFonts w:hint="eastAsia" w:ascii="宋体" w:hAnsi="宋体" w:eastAsia="宋体" w:cs="宋体"/>
                <w:w w:val="100"/>
                <w:sz w:val="22"/>
                <w:szCs w:val="22"/>
              </w:rPr>
              <w:t>1</w:t>
            </w:r>
          </w:p>
        </w:tc>
      </w:tr>
    </w:tbl>
    <w:p>
      <w:pPr>
        <w:pStyle w:val="2"/>
        <w:spacing w:line="458" w:lineRule="exact"/>
        <w:ind w:left="520" w:firstLine="2433" w:firstLineChars="800"/>
        <w:rPr>
          <w:rFonts w:hint="eastAsia" w:ascii="宋体" w:hAnsi="宋体" w:eastAsia="宋体" w:cs="宋体"/>
          <w:sz w:val="28"/>
          <w:szCs w:val="28"/>
          <w:lang w:val="en-US" w:eastAsia="zh-CN"/>
        </w:rPr>
      </w:pPr>
      <w:r>
        <w:rPr>
          <w:w w:val="95"/>
        </w:rPr>
        <w:t>药学院综合能力计分对照表</w:t>
      </w:r>
    </w:p>
    <w:p>
      <w:pPr>
        <w:keepNext w:val="0"/>
        <w:keepLines w:val="0"/>
        <w:pageBreakBefore w:val="0"/>
        <w:numPr>
          <w:ilvl w:val="0"/>
          <w:numId w:val="0"/>
        </w:numPr>
        <w:kinsoku/>
        <w:wordWrap/>
        <w:overflowPunct/>
        <w:topLinePunct w:val="0"/>
        <w:autoSpaceDE w:val="0"/>
        <w:autoSpaceDN w:val="0"/>
        <w:bidi w:val="0"/>
        <w:adjustRightInd w:val="0"/>
        <w:snapToGrid/>
        <w:spacing w:before="0" w:after="0" w:line="360" w:lineRule="auto"/>
        <w:ind w:left="0" w:leftChars="0" w:right="0" w:rightChars="0" w:firstLine="0"/>
        <w:jc w:val="both"/>
        <w:textAlignment w:val="auto"/>
        <w:rPr>
          <w:rFonts w:hint="eastAsia" w:ascii="宋体" w:hAnsi="宋体" w:eastAsia="宋体" w:cs="宋体"/>
          <w:sz w:val="28"/>
          <w:szCs w:val="28"/>
          <w:lang w:val="en-US" w:eastAsia="zh-CN"/>
        </w:rPr>
      </w:pPr>
    </w:p>
    <w:p>
      <w:pPr>
        <w:keepNext w:val="0"/>
        <w:keepLines w:val="0"/>
        <w:pageBreakBefore w:val="0"/>
        <w:numPr>
          <w:ilvl w:val="0"/>
          <w:numId w:val="0"/>
        </w:numPr>
        <w:kinsoku/>
        <w:wordWrap/>
        <w:overflowPunct/>
        <w:topLinePunct w:val="0"/>
        <w:autoSpaceDE w:val="0"/>
        <w:autoSpaceDN w:val="0"/>
        <w:bidi w:val="0"/>
        <w:adjustRightInd w:val="0"/>
        <w:snapToGrid/>
        <w:spacing w:before="0" w:after="0" w:line="360" w:lineRule="auto"/>
        <w:ind w:left="0" w:leftChars="0" w:right="0" w:rightChars="0" w:firstLine="0"/>
        <w:jc w:val="both"/>
        <w:textAlignment w:val="auto"/>
        <w:rPr>
          <w:rFonts w:hint="eastAsia" w:ascii="宋体" w:hAnsi="宋体" w:eastAsia="宋体" w:cs="宋体"/>
          <w:sz w:val="28"/>
          <w:szCs w:val="28"/>
          <w:lang w:val="en-US" w:eastAsia="zh-CN"/>
        </w:rPr>
      </w:pPr>
    </w:p>
    <w:p>
      <w:pPr>
        <w:keepNext w:val="0"/>
        <w:keepLines w:val="0"/>
        <w:pageBreakBefore w:val="0"/>
        <w:numPr>
          <w:ilvl w:val="0"/>
          <w:numId w:val="0"/>
        </w:numPr>
        <w:kinsoku/>
        <w:wordWrap/>
        <w:overflowPunct/>
        <w:topLinePunct w:val="0"/>
        <w:autoSpaceDE w:val="0"/>
        <w:autoSpaceDN w:val="0"/>
        <w:bidi w:val="0"/>
        <w:adjustRightInd w:val="0"/>
        <w:snapToGrid/>
        <w:spacing w:before="0" w:after="0" w:line="360" w:lineRule="auto"/>
        <w:ind w:left="0" w:leftChars="0" w:right="0" w:rightChars="0" w:firstLine="0"/>
        <w:jc w:val="both"/>
        <w:textAlignment w:val="auto"/>
        <w:rPr>
          <w:rFonts w:hint="eastAsia" w:ascii="宋体" w:hAnsi="宋体" w:eastAsia="宋体" w:cs="宋体"/>
          <w:sz w:val="28"/>
          <w:szCs w:val="28"/>
          <w:lang w:val="en-US" w:eastAsia="zh-CN"/>
        </w:rPr>
      </w:pPr>
    </w:p>
    <w:p>
      <w:pPr>
        <w:keepNext w:val="0"/>
        <w:keepLines w:val="0"/>
        <w:pageBreakBefore w:val="0"/>
        <w:numPr>
          <w:ilvl w:val="0"/>
          <w:numId w:val="0"/>
        </w:numPr>
        <w:kinsoku/>
        <w:wordWrap/>
        <w:overflowPunct/>
        <w:topLinePunct w:val="0"/>
        <w:autoSpaceDE w:val="0"/>
        <w:autoSpaceDN w:val="0"/>
        <w:bidi w:val="0"/>
        <w:adjustRightInd w:val="0"/>
        <w:snapToGrid/>
        <w:spacing w:before="0" w:after="0" w:line="360" w:lineRule="auto"/>
        <w:ind w:left="0" w:leftChars="0" w:right="0" w:rightChars="0" w:firstLine="0"/>
        <w:jc w:val="both"/>
        <w:textAlignment w:val="auto"/>
        <w:rPr>
          <w:rFonts w:hint="eastAsia" w:ascii="宋体" w:hAnsi="宋体" w:eastAsia="宋体" w:cs="宋体"/>
          <w:sz w:val="28"/>
          <w:szCs w:val="28"/>
          <w:lang w:val="en-US" w:eastAsia="zh-CN"/>
        </w:rPr>
      </w:pPr>
    </w:p>
    <w:p>
      <w:pPr>
        <w:keepNext w:val="0"/>
        <w:keepLines w:val="0"/>
        <w:pageBreakBefore w:val="0"/>
        <w:numPr>
          <w:ilvl w:val="0"/>
          <w:numId w:val="0"/>
        </w:numPr>
        <w:kinsoku/>
        <w:wordWrap/>
        <w:overflowPunct/>
        <w:topLinePunct w:val="0"/>
        <w:autoSpaceDE w:val="0"/>
        <w:autoSpaceDN w:val="0"/>
        <w:bidi w:val="0"/>
        <w:adjustRightInd w:val="0"/>
        <w:snapToGrid/>
        <w:spacing w:before="0" w:after="0" w:line="360" w:lineRule="auto"/>
        <w:ind w:left="0" w:leftChars="0" w:right="0" w:rightChars="0" w:firstLine="0"/>
        <w:jc w:val="both"/>
        <w:textAlignment w:val="auto"/>
        <w:rPr>
          <w:rFonts w:hint="eastAsia" w:ascii="宋体" w:hAnsi="宋体" w:eastAsia="宋体" w:cs="宋体"/>
          <w:sz w:val="28"/>
          <w:szCs w:val="28"/>
          <w:lang w:val="en-US" w:eastAsia="zh-CN"/>
        </w:rPr>
      </w:pPr>
    </w:p>
    <w:p>
      <w:pPr>
        <w:keepNext w:val="0"/>
        <w:keepLines w:val="0"/>
        <w:pageBreakBefore w:val="0"/>
        <w:numPr>
          <w:ilvl w:val="0"/>
          <w:numId w:val="0"/>
        </w:numPr>
        <w:kinsoku/>
        <w:wordWrap/>
        <w:overflowPunct/>
        <w:topLinePunct w:val="0"/>
        <w:autoSpaceDE w:val="0"/>
        <w:autoSpaceDN w:val="0"/>
        <w:bidi w:val="0"/>
        <w:adjustRightInd w:val="0"/>
        <w:snapToGrid/>
        <w:spacing w:before="0" w:after="0" w:line="360" w:lineRule="auto"/>
        <w:ind w:left="0" w:leftChars="0" w:right="0" w:rightChars="0" w:firstLine="0"/>
        <w:jc w:val="both"/>
        <w:textAlignment w:val="auto"/>
        <w:rPr>
          <w:rFonts w:hint="eastAsia" w:ascii="宋体" w:hAnsi="宋体" w:eastAsia="宋体" w:cs="宋体"/>
          <w:sz w:val="28"/>
          <w:szCs w:val="28"/>
          <w:lang w:val="en-US" w:eastAsia="zh-CN"/>
        </w:rPr>
      </w:pPr>
    </w:p>
    <w:p>
      <w:pPr>
        <w:keepNext w:val="0"/>
        <w:keepLines w:val="0"/>
        <w:pageBreakBefore w:val="0"/>
        <w:numPr>
          <w:ilvl w:val="0"/>
          <w:numId w:val="0"/>
        </w:numPr>
        <w:kinsoku/>
        <w:wordWrap/>
        <w:overflowPunct/>
        <w:topLinePunct w:val="0"/>
        <w:autoSpaceDE w:val="0"/>
        <w:autoSpaceDN w:val="0"/>
        <w:bidi w:val="0"/>
        <w:adjustRightInd w:val="0"/>
        <w:snapToGrid/>
        <w:spacing w:before="0" w:after="0" w:line="360" w:lineRule="auto"/>
        <w:ind w:left="0" w:leftChars="0" w:right="0" w:rightChars="0" w:firstLine="0"/>
        <w:jc w:val="both"/>
        <w:textAlignment w:val="auto"/>
        <w:rPr>
          <w:rFonts w:hint="eastAsia" w:ascii="宋体" w:hAnsi="宋体" w:eastAsia="宋体" w:cs="宋体"/>
          <w:sz w:val="28"/>
          <w:szCs w:val="28"/>
          <w:lang w:val="en-US" w:eastAsia="zh-CN"/>
        </w:rPr>
      </w:pPr>
    </w:p>
    <w:p>
      <w:pPr>
        <w:keepNext w:val="0"/>
        <w:keepLines w:val="0"/>
        <w:pageBreakBefore w:val="0"/>
        <w:numPr>
          <w:ilvl w:val="0"/>
          <w:numId w:val="0"/>
        </w:numPr>
        <w:kinsoku/>
        <w:wordWrap/>
        <w:overflowPunct/>
        <w:topLinePunct w:val="0"/>
        <w:autoSpaceDE w:val="0"/>
        <w:autoSpaceDN w:val="0"/>
        <w:bidi w:val="0"/>
        <w:adjustRightInd w:val="0"/>
        <w:snapToGrid/>
        <w:spacing w:before="0" w:after="0" w:line="360" w:lineRule="auto"/>
        <w:ind w:left="0" w:leftChars="0" w:right="0" w:rightChars="0" w:firstLine="0"/>
        <w:jc w:val="both"/>
        <w:textAlignment w:val="auto"/>
        <w:rPr>
          <w:rFonts w:hint="eastAsia" w:ascii="宋体" w:hAnsi="宋体" w:eastAsia="宋体" w:cs="宋体"/>
          <w:sz w:val="28"/>
          <w:szCs w:val="28"/>
          <w:lang w:val="en-US" w:eastAsia="zh-CN"/>
        </w:rPr>
      </w:pPr>
    </w:p>
    <w:p>
      <w:pPr>
        <w:keepNext w:val="0"/>
        <w:keepLines w:val="0"/>
        <w:pageBreakBefore w:val="0"/>
        <w:numPr>
          <w:ilvl w:val="0"/>
          <w:numId w:val="0"/>
        </w:numPr>
        <w:kinsoku/>
        <w:wordWrap/>
        <w:overflowPunct/>
        <w:topLinePunct w:val="0"/>
        <w:autoSpaceDE w:val="0"/>
        <w:autoSpaceDN w:val="0"/>
        <w:bidi w:val="0"/>
        <w:adjustRightInd w:val="0"/>
        <w:snapToGrid/>
        <w:spacing w:before="0" w:after="0" w:line="360" w:lineRule="auto"/>
        <w:ind w:left="0" w:leftChars="0" w:right="0" w:rightChars="0" w:firstLine="0"/>
        <w:jc w:val="both"/>
        <w:textAlignment w:val="auto"/>
        <w:rPr>
          <w:rFonts w:hint="eastAsia" w:ascii="宋体" w:hAnsi="宋体" w:eastAsia="宋体" w:cs="宋体"/>
          <w:sz w:val="28"/>
          <w:szCs w:val="28"/>
          <w:lang w:val="en-US" w:eastAsia="zh-CN"/>
        </w:rPr>
      </w:pPr>
    </w:p>
    <w:p>
      <w:pPr>
        <w:keepNext w:val="0"/>
        <w:keepLines w:val="0"/>
        <w:pageBreakBefore w:val="0"/>
        <w:numPr>
          <w:ilvl w:val="0"/>
          <w:numId w:val="0"/>
        </w:numPr>
        <w:kinsoku/>
        <w:wordWrap/>
        <w:overflowPunct/>
        <w:topLinePunct w:val="0"/>
        <w:autoSpaceDE w:val="0"/>
        <w:autoSpaceDN w:val="0"/>
        <w:bidi w:val="0"/>
        <w:adjustRightInd w:val="0"/>
        <w:snapToGrid/>
        <w:spacing w:before="0" w:after="0" w:line="360" w:lineRule="auto"/>
        <w:ind w:left="0" w:leftChars="0" w:right="0" w:rightChars="0" w:firstLine="0"/>
        <w:jc w:val="both"/>
        <w:textAlignment w:val="auto"/>
        <w:rPr>
          <w:rFonts w:hint="eastAsia" w:ascii="宋体" w:hAnsi="宋体" w:eastAsia="宋体" w:cs="宋体"/>
          <w:sz w:val="28"/>
          <w:szCs w:val="28"/>
          <w:lang w:val="en-US" w:eastAsia="zh-CN"/>
        </w:rPr>
      </w:pPr>
    </w:p>
    <w:p>
      <w:pPr>
        <w:keepNext w:val="0"/>
        <w:keepLines w:val="0"/>
        <w:pageBreakBefore w:val="0"/>
        <w:numPr>
          <w:ilvl w:val="0"/>
          <w:numId w:val="0"/>
        </w:numPr>
        <w:kinsoku/>
        <w:wordWrap/>
        <w:overflowPunct/>
        <w:topLinePunct w:val="0"/>
        <w:autoSpaceDE w:val="0"/>
        <w:autoSpaceDN w:val="0"/>
        <w:bidi w:val="0"/>
        <w:adjustRightInd w:val="0"/>
        <w:snapToGrid/>
        <w:spacing w:before="0" w:after="0" w:line="360" w:lineRule="auto"/>
        <w:ind w:left="0" w:leftChars="0" w:right="0" w:rightChars="0" w:firstLine="0"/>
        <w:jc w:val="both"/>
        <w:textAlignment w:val="auto"/>
        <w:rPr>
          <w:rFonts w:hint="eastAsia" w:ascii="宋体" w:hAnsi="宋体" w:eastAsia="宋体" w:cs="宋体"/>
          <w:sz w:val="28"/>
          <w:szCs w:val="28"/>
          <w:lang w:val="en-US" w:eastAsia="zh-CN"/>
        </w:rPr>
      </w:pPr>
    </w:p>
    <w:p>
      <w:pPr>
        <w:keepNext w:val="0"/>
        <w:keepLines w:val="0"/>
        <w:pageBreakBefore w:val="0"/>
        <w:numPr>
          <w:ilvl w:val="0"/>
          <w:numId w:val="0"/>
        </w:numPr>
        <w:kinsoku/>
        <w:wordWrap/>
        <w:overflowPunct/>
        <w:topLinePunct w:val="0"/>
        <w:autoSpaceDE w:val="0"/>
        <w:autoSpaceDN w:val="0"/>
        <w:bidi w:val="0"/>
        <w:adjustRightInd w:val="0"/>
        <w:snapToGrid/>
        <w:spacing w:before="0" w:after="0" w:line="360" w:lineRule="auto"/>
        <w:ind w:left="0" w:leftChars="0" w:right="0" w:rightChars="0" w:firstLine="0"/>
        <w:jc w:val="both"/>
        <w:textAlignment w:val="auto"/>
        <w:rPr>
          <w:rFonts w:hint="eastAsia" w:ascii="宋体" w:hAnsi="宋体" w:eastAsia="宋体" w:cs="宋体"/>
          <w:sz w:val="28"/>
          <w:szCs w:val="28"/>
          <w:lang w:val="en-US" w:eastAsia="zh-CN"/>
        </w:rPr>
      </w:pPr>
    </w:p>
    <w:p>
      <w:pPr>
        <w:keepNext w:val="0"/>
        <w:keepLines w:val="0"/>
        <w:pageBreakBefore w:val="0"/>
        <w:numPr>
          <w:ilvl w:val="0"/>
          <w:numId w:val="0"/>
        </w:numPr>
        <w:kinsoku/>
        <w:wordWrap/>
        <w:overflowPunct/>
        <w:topLinePunct w:val="0"/>
        <w:autoSpaceDE w:val="0"/>
        <w:autoSpaceDN w:val="0"/>
        <w:bidi w:val="0"/>
        <w:adjustRightInd w:val="0"/>
        <w:snapToGrid/>
        <w:spacing w:before="0" w:after="0" w:line="360" w:lineRule="auto"/>
        <w:ind w:left="0" w:leftChars="0" w:right="0" w:rightChars="0" w:firstLine="0"/>
        <w:jc w:val="both"/>
        <w:textAlignment w:val="auto"/>
        <w:rPr>
          <w:rFonts w:hint="eastAsia" w:ascii="宋体" w:hAnsi="宋体" w:eastAsia="宋体" w:cs="宋体"/>
          <w:sz w:val="28"/>
          <w:szCs w:val="28"/>
          <w:lang w:val="en-US" w:eastAsia="zh-CN"/>
        </w:rPr>
      </w:pPr>
    </w:p>
    <w:p>
      <w:pPr>
        <w:keepNext w:val="0"/>
        <w:keepLines w:val="0"/>
        <w:pageBreakBefore w:val="0"/>
        <w:numPr>
          <w:ilvl w:val="0"/>
          <w:numId w:val="0"/>
        </w:numPr>
        <w:kinsoku/>
        <w:wordWrap/>
        <w:overflowPunct/>
        <w:topLinePunct w:val="0"/>
        <w:autoSpaceDE w:val="0"/>
        <w:autoSpaceDN w:val="0"/>
        <w:bidi w:val="0"/>
        <w:adjustRightInd w:val="0"/>
        <w:snapToGrid/>
        <w:spacing w:before="0" w:after="0" w:line="360" w:lineRule="auto"/>
        <w:ind w:left="0" w:leftChars="0" w:right="0" w:rightChars="0" w:firstLine="0"/>
        <w:jc w:val="both"/>
        <w:textAlignment w:val="auto"/>
        <w:rPr>
          <w:rFonts w:hint="eastAsia" w:ascii="宋体" w:hAnsi="宋体" w:eastAsia="宋体" w:cs="宋体"/>
          <w:sz w:val="28"/>
          <w:szCs w:val="28"/>
          <w:lang w:val="en-US" w:eastAsia="zh-CN"/>
        </w:rPr>
      </w:pPr>
    </w:p>
    <w:p>
      <w:pPr>
        <w:keepNext w:val="0"/>
        <w:keepLines w:val="0"/>
        <w:pageBreakBefore w:val="0"/>
        <w:numPr>
          <w:ilvl w:val="0"/>
          <w:numId w:val="0"/>
        </w:numPr>
        <w:kinsoku/>
        <w:wordWrap/>
        <w:overflowPunct/>
        <w:topLinePunct w:val="0"/>
        <w:autoSpaceDE w:val="0"/>
        <w:autoSpaceDN w:val="0"/>
        <w:bidi w:val="0"/>
        <w:adjustRightInd w:val="0"/>
        <w:snapToGrid/>
        <w:spacing w:before="0" w:after="0" w:line="360" w:lineRule="auto"/>
        <w:ind w:left="0" w:leftChars="0" w:right="0" w:rightChars="0" w:firstLine="0"/>
        <w:jc w:val="both"/>
        <w:textAlignment w:val="auto"/>
        <w:rPr>
          <w:rFonts w:hint="eastAsia" w:ascii="宋体" w:hAnsi="宋体" w:eastAsia="宋体" w:cs="宋体"/>
          <w:sz w:val="28"/>
          <w:szCs w:val="28"/>
          <w:lang w:val="en-US" w:eastAsia="zh-CN"/>
        </w:rPr>
      </w:pPr>
    </w:p>
    <w:p>
      <w:pPr>
        <w:keepNext w:val="0"/>
        <w:keepLines w:val="0"/>
        <w:pageBreakBefore w:val="0"/>
        <w:numPr>
          <w:ilvl w:val="0"/>
          <w:numId w:val="0"/>
        </w:numPr>
        <w:kinsoku/>
        <w:wordWrap/>
        <w:overflowPunct/>
        <w:topLinePunct w:val="0"/>
        <w:autoSpaceDE w:val="0"/>
        <w:autoSpaceDN w:val="0"/>
        <w:bidi w:val="0"/>
        <w:adjustRightInd w:val="0"/>
        <w:snapToGrid/>
        <w:spacing w:before="0" w:after="0" w:line="360" w:lineRule="auto"/>
        <w:ind w:left="0" w:leftChars="0" w:right="0" w:rightChars="0" w:firstLine="0"/>
        <w:jc w:val="both"/>
        <w:textAlignment w:val="auto"/>
        <w:rPr>
          <w:rFonts w:hint="eastAsia" w:ascii="宋体" w:hAnsi="宋体" w:eastAsia="宋体" w:cs="宋体"/>
          <w:sz w:val="28"/>
          <w:szCs w:val="28"/>
          <w:lang w:val="en-US" w:eastAsia="zh-CN"/>
        </w:rPr>
      </w:pPr>
    </w:p>
    <w:p>
      <w:pPr>
        <w:keepNext w:val="0"/>
        <w:keepLines w:val="0"/>
        <w:pageBreakBefore w:val="0"/>
        <w:numPr>
          <w:ilvl w:val="0"/>
          <w:numId w:val="0"/>
        </w:numPr>
        <w:kinsoku/>
        <w:wordWrap/>
        <w:overflowPunct/>
        <w:topLinePunct w:val="0"/>
        <w:autoSpaceDE w:val="0"/>
        <w:autoSpaceDN w:val="0"/>
        <w:bidi w:val="0"/>
        <w:adjustRightInd w:val="0"/>
        <w:snapToGrid/>
        <w:spacing w:before="0" w:after="0" w:line="360" w:lineRule="auto"/>
        <w:ind w:left="0" w:leftChars="0" w:right="0" w:rightChars="0" w:firstLine="0"/>
        <w:jc w:val="both"/>
        <w:textAlignment w:val="auto"/>
        <w:rPr>
          <w:rFonts w:hint="eastAsia" w:ascii="宋体" w:hAnsi="宋体" w:eastAsia="宋体" w:cs="宋体"/>
          <w:sz w:val="28"/>
          <w:szCs w:val="28"/>
          <w:lang w:val="en-US" w:eastAsia="zh-CN"/>
        </w:rPr>
      </w:pPr>
    </w:p>
    <w:p>
      <w:pPr>
        <w:keepNext w:val="0"/>
        <w:keepLines w:val="0"/>
        <w:pageBreakBefore w:val="0"/>
        <w:numPr>
          <w:ilvl w:val="0"/>
          <w:numId w:val="0"/>
        </w:numPr>
        <w:kinsoku/>
        <w:wordWrap/>
        <w:overflowPunct/>
        <w:topLinePunct w:val="0"/>
        <w:autoSpaceDE w:val="0"/>
        <w:autoSpaceDN w:val="0"/>
        <w:bidi w:val="0"/>
        <w:adjustRightInd w:val="0"/>
        <w:snapToGrid/>
        <w:spacing w:before="0" w:after="0" w:line="360" w:lineRule="auto"/>
        <w:ind w:left="0" w:leftChars="0" w:right="0" w:rightChars="0" w:firstLine="0"/>
        <w:jc w:val="both"/>
        <w:textAlignment w:val="auto"/>
        <w:rPr>
          <w:rFonts w:hint="eastAsia" w:ascii="宋体" w:hAnsi="宋体" w:eastAsia="宋体" w:cs="宋体"/>
          <w:sz w:val="28"/>
          <w:szCs w:val="28"/>
          <w:lang w:val="en-US" w:eastAsia="zh-CN"/>
        </w:rPr>
      </w:pPr>
    </w:p>
    <w:p>
      <w:pPr>
        <w:keepNext w:val="0"/>
        <w:keepLines w:val="0"/>
        <w:pageBreakBefore w:val="0"/>
        <w:numPr>
          <w:ilvl w:val="0"/>
          <w:numId w:val="0"/>
        </w:numPr>
        <w:kinsoku/>
        <w:wordWrap/>
        <w:overflowPunct/>
        <w:topLinePunct w:val="0"/>
        <w:autoSpaceDE w:val="0"/>
        <w:autoSpaceDN w:val="0"/>
        <w:bidi w:val="0"/>
        <w:adjustRightInd w:val="0"/>
        <w:snapToGrid/>
        <w:spacing w:before="0" w:after="0" w:line="360" w:lineRule="auto"/>
        <w:ind w:left="0" w:leftChars="0" w:right="0" w:rightChars="0" w:firstLine="0"/>
        <w:jc w:val="both"/>
        <w:textAlignment w:val="auto"/>
        <w:rPr>
          <w:rFonts w:hint="eastAsia" w:ascii="宋体" w:hAnsi="宋体" w:eastAsia="宋体" w:cs="宋体"/>
          <w:sz w:val="28"/>
          <w:szCs w:val="28"/>
          <w:lang w:val="en-US" w:eastAsia="zh-CN"/>
        </w:rPr>
      </w:pPr>
    </w:p>
    <w:p>
      <w:pPr>
        <w:keepNext w:val="0"/>
        <w:keepLines w:val="0"/>
        <w:pageBreakBefore w:val="0"/>
        <w:numPr>
          <w:ilvl w:val="0"/>
          <w:numId w:val="0"/>
        </w:numPr>
        <w:kinsoku/>
        <w:wordWrap/>
        <w:overflowPunct/>
        <w:topLinePunct w:val="0"/>
        <w:autoSpaceDE w:val="0"/>
        <w:autoSpaceDN w:val="0"/>
        <w:bidi w:val="0"/>
        <w:adjustRightInd w:val="0"/>
        <w:snapToGrid/>
        <w:spacing w:before="0" w:after="0" w:line="360" w:lineRule="auto"/>
        <w:ind w:left="0" w:leftChars="0" w:right="0" w:rightChars="0" w:firstLine="0"/>
        <w:jc w:val="both"/>
        <w:textAlignment w:val="auto"/>
        <w:rPr>
          <w:rFonts w:hint="eastAsia" w:ascii="宋体" w:hAnsi="宋体" w:eastAsia="宋体" w:cs="宋体"/>
          <w:sz w:val="28"/>
          <w:szCs w:val="28"/>
          <w:lang w:val="en-US" w:eastAsia="zh-CN"/>
        </w:rPr>
      </w:pPr>
    </w:p>
    <w:p>
      <w:pPr>
        <w:keepNext w:val="0"/>
        <w:keepLines w:val="0"/>
        <w:pageBreakBefore w:val="0"/>
        <w:numPr>
          <w:ilvl w:val="0"/>
          <w:numId w:val="0"/>
        </w:numPr>
        <w:kinsoku/>
        <w:wordWrap/>
        <w:overflowPunct/>
        <w:topLinePunct w:val="0"/>
        <w:autoSpaceDE w:val="0"/>
        <w:autoSpaceDN w:val="0"/>
        <w:bidi w:val="0"/>
        <w:adjustRightInd w:val="0"/>
        <w:snapToGrid/>
        <w:spacing w:before="0" w:after="0" w:line="360" w:lineRule="auto"/>
        <w:ind w:left="0" w:leftChars="0" w:right="0" w:rightChars="0" w:firstLine="0"/>
        <w:jc w:val="both"/>
        <w:textAlignment w:val="auto"/>
        <w:rPr>
          <w:rFonts w:hint="eastAsia" w:ascii="宋体" w:hAnsi="宋体" w:eastAsia="宋体" w:cs="宋体"/>
          <w:sz w:val="28"/>
          <w:szCs w:val="28"/>
          <w:lang w:val="en-US" w:eastAsia="zh-CN"/>
        </w:rPr>
      </w:pPr>
    </w:p>
    <w:p>
      <w:pPr>
        <w:keepNext w:val="0"/>
        <w:keepLines w:val="0"/>
        <w:pageBreakBefore w:val="0"/>
        <w:numPr>
          <w:ilvl w:val="0"/>
          <w:numId w:val="0"/>
        </w:numPr>
        <w:kinsoku/>
        <w:wordWrap/>
        <w:overflowPunct/>
        <w:topLinePunct w:val="0"/>
        <w:autoSpaceDE w:val="0"/>
        <w:autoSpaceDN w:val="0"/>
        <w:bidi w:val="0"/>
        <w:adjustRightInd w:val="0"/>
        <w:snapToGrid/>
        <w:spacing w:before="0" w:after="0" w:line="360" w:lineRule="auto"/>
        <w:ind w:left="0" w:leftChars="0" w:right="0" w:rightChars="0" w:firstLine="0"/>
        <w:jc w:val="both"/>
        <w:textAlignment w:val="auto"/>
        <w:rPr>
          <w:rFonts w:hint="eastAsia" w:ascii="宋体" w:hAnsi="宋体" w:eastAsia="宋体" w:cs="宋体"/>
          <w:sz w:val="28"/>
          <w:szCs w:val="28"/>
          <w:lang w:val="en-US" w:eastAsia="zh-CN"/>
        </w:rPr>
      </w:pPr>
    </w:p>
    <w:p>
      <w:pPr>
        <w:keepNext w:val="0"/>
        <w:keepLines w:val="0"/>
        <w:pageBreakBefore w:val="0"/>
        <w:numPr>
          <w:ilvl w:val="0"/>
          <w:numId w:val="0"/>
        </w:numPr>
        <w:kinsoku/>
        <w:wordWrap/>
        <w:overflowPunct/>
        <w:topLinePunct w:val="0"/>
        <w:autoSpaceDE w:val="0"/>
        <w:autoSpaceDN w:val="0"/>
        <w:bidi w:val="0"/>
        <w:adjustRightInd w:val="0"/>
        <w:snapToGrid/>
        <w:spacing w:before="0" w:after="0" w:line="360" w:lineRule="auto"/>
        <w:ind w:left="0" w:leftChars="0" w:right="0" w:rightChars="0" w:firstLine="0"/>
        <w:jc w:val="both"/>
        <w:textAlignment w:val="auto"/>
        <w:rPr>
          <w:rFonts w:hint="eastAsia" w:ascii="宋体" w:hAnsi="宋体" w:eastAsia="宋体" w:cs="宋体"/>
          <w:sz w:val="28"/>
          <w:szCs w:val="28"/>
          <w:lang w:val="en-US" w:eastAsia="zh-CN"/>
        </w:rPr>
      </w:pPr>
    </w:p>
    <w:p>
      <w:pPr>
        <w:keepNext w:val="0"/>
        <w:keepLines w:val="0"/>
        <w:pageBreakBefore w:val="0"/>
        <w:numPr>
          <w:ilvl w:val="0"/>
          <w:numId w:val="0"/>
        </w:numPr>
        <w:kinsoku/>
        <w:wordWrap/>
        <w:overflowPunct/>
        <w:topLinePunct w:val="0"/>
        <w:autoSpaceDE w:val="0"/>
        <w:autoSpaceDN w:val="0"/>
        <w:bidi w:val="0"/>
        <w:adjustRightInd w:val="0"/>
        <w:snapToGrid/>
        <w:spacing w:before="0" w:after="0" w:line="360" w:lineRule="auto"/>
        <w:ind w:left="0" w:leftChars="0" w:right="0" w:rightChars="0" w:firstLine="0"/>
        <w:jc w:val="both"/>
        <w:textAlignment w:val="auto"/>
        <w:rPr>
          <w:rFonts w:hint="eastAsia" w:ascii="宋体" w:hAnsi="宋体" w:eastAsia="宋体" w:cs="宋体"/>
          <w:sz w:val="28"/>
          <w:szCs w:val="28"/>
          <w:lang w:val="en-US" w:eastAsia="zh-CN"/>
        </w:rPr>
      </w:pPr>
    </w:p>
    <w:p>
      <w:pPr>
        <w:keepNext w:val="0"/>
        <w:keepLines w:val="0"/>
        <w:pageBreakBefore w:val="0"/>
        <w:numPr>
          <w:ilvl w:val="0"/>
          <w:numId w:val="0"/>
        </w:numPr>
        <w:kinsoku/>
        <w:wordWrap/>
        <w:overflowPunct/>
        <w:topLinePunct w:val="0"/>
        <w:autoSpaceDE w:val="0"/>
        <w:autoSpaceDN w:val="0"/>
        <w:bidi w:val="0"/>
        <w:adjustRightInd w:val="0"/>
        <w:snapToGrid/>
        <w:spacing w:before="0" w:after="0" w:line="360" w:lineRule="auto"/>
        <w:ind w:left="0" w:leftChars="0" w:right="0" w:rightChars="0" w:firstLine="0"/>
        <w:jc w:val="both"/>
        <w:textAlignment w:val="auto"/>
        <w:rPr>
          <w:rFonts w:hint="eastAsia" w:ascii="宋体" w:hAnsi="宋体" w:eastAsia="宋体" w:cs="宋体"/>
          <w:sz w:val="28"/>
          <w:szCs w:val="28"/>
          <w:lang w:val="en-US" w:eastAsia="zh-CN"/>
        </w:rPr>
      </w:pPr>
    </w:p>
    <w:p>
      <w:pPr>
        <w:spacing w:before="0" w:line="458" w:lineRule="exact"/>
        <w:ind w:left="520" w:right="0" w:firstLine="0"/>
        <w:jc w:val="left"/>
        <w:rPr>
          <w:rFonts w:hint="eastAsia" w:ascii="Microsoft YaHei UI" w:eastAsia="Microsoft YaHei UI"/>
          <w:b/>
          <w:sz w:val="28"/>
        </w:rPr>
      </w:pPr>
      <w:r>
        <w:rPr>
          <w:rFonts w:hint="eastAsia" w:ascii="Microsoft YaHei UI" w:eastAsia="Microsoft YaHei UI"/>
          <w:b/>
          <w:w w:val="95"/>
          <w:sz w:val="28"/>
        </w:rPr>
        <w:t>附件</w:t>
      </w:r>
      <w:r>
        <w:rPr>
          <w:rFonts w:hint="eastAsia" w:ascii="Microsoft YaHei UI" w:eastAsia="Microsoft YaHei UI"/>
          <w:b/>
          <w:spacing w:val="84"/>
          <w:sz w:val="28"/>
        </w:rPr>
        <w:t xml:space="preserve"> </w:t>
      </w:r>
      <w:r>
        <w:rPr>
          <w:rFonts w:hint="eastAsia" w:ascii="Microsoft YaHei UI" w:eastAsia="Microsoft YaHei UI"/>
          <w:b/>
          <w:w w:val="95"/>
          <w:sz w:val="28"/>
        </w:rPr>
        <w:t>2：药学院创新能力计分对照表</w:t>
      </w:r>
    </w:p>
    <w:p>
      <w:pPr>
        <w:pStyle w:val="2"/>
        <w:spacing w:before="126"/>
        <w:ind w:left="520"/>
      </w:pPr>
      <w:r>
        <w:t>（1）学术论文及竞赛加分</w:t>
      </w:r>
    </w:p>
    <w:p>
      <w:pPr>
        <w:pStyle w:val="3"/>
        <w:spacing w:before="14"/>
        <w:rPr>
          <w:rFonts w:ascii="Microsoft YaHei UI"/>
          <w:b/>
          <w:sz w:val="3"/>
        </w:rPr>
      </w:pPr>
    </w:p>
    <w:tbl>
      <w:tblPr>
        <w:tblStyle w:val="6"/>
        <w:tblW w:w="0" w:type="auto"/>
        <w:tblInd w:w="2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9"/>
        <w:gridCol w:w="5515"/>
        <w:gridCol w:w="15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1849" w:type="dxa"/>
          </w:tcPr>
          <w:p>
            <w:pPr>
              <w:pStyle w:val="11"/>
              <w:spacing w:before="8"/>
              <w:ind w:left="0"/>
              <w:jc w:val="left"/>
              <w:rPr>
                <w:rFonts w:ascii="Microsoft YaHei UI"/>
                <w:b/>
                <w:sz w:val="21"/>
              </w:rPr>
            </w:pPr>
          </w:p>
          <w:p>
            <w:pPr>
              <w:pStyle w:val="11"/>
              <w:spacing w:before="1"/>
              <w:ind w:left="100" w:right="96"/>
              <w:rPr>
                <w:rFonts w:hint="eastAsia" w:ascii="Microsoft YaHei UI" w:eastAsia="Microsoft YaHei UI"/>
                <w:b/>
                <w:sz w:val="24"/>
              </w:rPr>
            </w:pPr>
            <w:r>
              <w:rPr>
                <w:rFonts w:hint="eastAsia" w:ascii="Microsoft YaHei UI" w:eastAsia="Microsoft YaHei UI"/>
                <w:b/>
                <w:sz w:val="24"/>
              </w:rPr>
              <w:t>类别</w:t>
            </w:r>
          </w:p>
        </w:tc>
        <w:tc>
          <w:tcPr>
            <w:tcW w:w="5515" w:type="dxa"/>
          </w:tcPr>
          <w:p>
            <w:pPr>
              <w:pStyle w:val="11"/>
              <w:spacing w:before="8"/>
              <w:ind w:left="0"/>
              <w:jc w:val="left"/>
              <w:rPr>
                <w:rFonts w:ascii="Microsoft YaHei UI"/>
                <w:b/>
                <w:sz w:val="21"/>
              </w:rPr>
            </w:pPr>
          </w:p>
          <w:p>
            <w:pPr>
              <w:pStyle w:val="11"/>
              <w:spacing w:before="1"/>
              <w:ind w:right="96"/>
              <w:rPr>
                <w:rFonts w:hint="eastAsia" w:ascii="Microsoft YaHei UI" w:eastAsia="Microsoft YaHei UI"/>
                <w:b/>
                <w:sz w:val="24"/>
              </w:rPr>
            </w:pPr>
            <w:r>
              <w:rPr>
                <w:rFonts w:hint="eastAsia" w:ascii="Microsoft YaHei UI" w:eastAsia="Microsoft YaHei UI"/>
                <w:b/>
                <w:sz w:val="24"/>
              </w:rPr>
              <w:t>成果荣誉情况</w:t>
            </w:r>
          </w:p>
        </w:tc>
        <w:tc>
          <w:tcPr>
            <w:tcW w:w="1585" w:type="dxa"/>
          </w:tcPr>
          <w:p>
            <w:pPr>
              <w:pStyle w:val="11"/>
              <w:spacing w:before="6"/>
              <w:ind w:left="0"/>
              <w:jc w:val="left"/>
              <w:rPr>
                <w:rFonts w:ascii="Microsoft YaHei UI"/>
                <w:b/>
                <w:sz w:val="17"/>
              </w:rPr>
            </w:pPr>
          </w:p>
          <w:p>
            <w:pPr>
              <w:pStyle w:val="11"/>
              <w:spacing w:before="0" w:line="175" w:lineRule="auto"/>
              <w:ind w:left="188" w:right="97" w:hanging="82"/>
              <w:jc w:val="left"/>
              <w:rPr>
                <w:rFonts w:hint="eastAsia" w:ascii="Microsoft YaHei UI" w:eastAsia="Microsoft YaHei UI"/>
                <w:b/>
                <w:sz w:val="24"/>
              </w:rPr>
            </w:pPr>
            <w:r>
              <w:rPr>
                <w:rFonts w:hint="eastAsia" w:ascii="Microsoft YaHei UI" w:eastAsia="Microsoft YaHei UI"/>
                <w:b/>
                <w:spacing w:val="-26"/>
                <w:sz w:val="24"/>
              </w:rPr>
              <w:t>负责人</w:t>
            </w:r>
            <w:r>
              <w:rPr>
                <w:rFonts w:hint="eastAsia" w:ascii="Microsoft YaHei UI" w:eastAsia="Microsoft YaHei UI"/>
                <w:b/>
                <w:sz w:val="24"/>
              </w:rPr>
              <w:t>（第一作者）加分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849" w:type="dxa"/>
            <w:vMerge w:val="restart"/>
          </w:tcPr>
          <w:p>
            <w:pPr>
              <w:pStyle w:val="11"/>
              <w:spacing w:before="0"/>
              <w:ind w:left="0"/>
              <w:jc w:val="left"/>
              <w:rPr>
                <w:rFonts w:ascii="Microsoft YaHei UI"/>
                <w:b/>
                <w:sz w:val="24"/>
              </w:rPr>
            </w:pPr>
          </w:p>
          <w:p>
            <w:pPr>
              <w:pStyle w:val="11"/>
              <w:spacing w:before="0"/>
              <w:ind w:left="0"/>
              <w:jc w:val="left"/>
              <w:rPr>
                <w:rFonts w:ascii="Microsoft YaHei UI"/>
                <w:b/>
                <w:sz w:val="24"/>
              </w:rPr>
            </w:pPr>
          </w:p>
          <w:p>
            <w:pPr>
              <w:pStyle w:val="11"/>
              <w:spacing w:before="0"/>
              <w:ind w:left="0"/>
              <w:jc w:val="left"/>
              <w:rPr>
                <w:rFonts w:ascii="Microsoft YaHei UI"/>
                <w:b/>
                <w:sz w:val="24"/>
              </w:rPr>
            </w:pPr>
          </w:p>
          <w:p>
            <w:pPr>
              <w:pStyle w:val="11"/>
              <w:spacing w:before="0"/>
              <w:ind w:left="0"/>
              <w:jc w:val="left"/>
              <w:rPr>
                <w:rFonts w:ascii="Microsoft YaHei UI"/>
                <w:b/>
                <w:sz w:val="24"/>
              </w:rPr>
            </w:pPr>
          </w:p>
          <w:p>
            <w:pPr>
              <w:pStyle w:val="11"/>
              <w:spacing w:before="9"/>
              <w:ind w:left="0"/>
              <w:jc w:val="left"/>
              <w:rPr>
                <w:rFonts w:ascii="Microsoft YaHei UI"/>
                <w:b/>
                <w:sz w:val="21"/>
              </w:rPr>
            </w:pPr>
          </w:p>
          <w:p>
            <w:pPr>
              <w:pStyle w:val="11"/>
              <w:spacing w:before="0"/>
              <w:ind w:left="444"/>
              <w:jc w:val="left"/>
              <w:rPr>
                <w:sz w:val="24"/>
              </w:rPr>
            </w:pPr>
            <w:r>
              <w:rPr>
                <w:sz w:val="24"/>
              </w:rPr>
              <w:t>学术研究</w:t>
            </w:r>
          </w:p>
        </w:tc>
        <w:tc>
          <w:tcPr>
            <w:tcW w:w="5515" w:type="dxa"/>
          </w:tcPr>
          <w:p>
            <w:pPr>
              <w:pStyle w:val="11"/>
              <w:spacing w:before="3" w:line="289" w:lineRule="exact"/>
              <w:ind w:right="96"/>
              <w:rPr>
                <w:sz w:val="24"/>
              </w:rPr>
            </w:pPr>
            <w:r>
              <w:rPr>
                <w:sz w:val="24"/>
              </w:rPr>
              <w:t>《Nature》《Science》《Cell》主刊论文</w:t>
            </w:r>
          </w:p>
        </w:tc>
        <w:tc>
          <w:tcPr>
            <w:tcW w:w="1585" w:type="dxa"/>
          </w:tcPr>
          <w:p>
            <w:pPr>
              <w:pStyle w:val="11"/>
              <w:spacing w:before="3" w:line="289" w:lineRule="exact"/>
              <w:ind w:left="591" w:right="584"/>
              <w:rPr>
                <w:sz w:val="24"/>
              </w:rPr>
            </w:pPr>
            <w:r>
              <w:rPr>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1849" w:type="dxa"/>
            <w:vMerge w:val="continue"/>
            <w:tcBorders>
              <w:top w:val="nil"/>
            </w:tcBorders>
          </w:tcPr>
          <w:p>
            <w:pPr>
              <w:rPr>
                <w:sz w:val="2"/>
                <w:szCs w:val="2"/>
              </w:rPr>
            </w:pPr>
          </w:p>
        </w:tc>
        <w:tc>
          <w:tcPr>
            <w:tcW w:w="5515" w:type="dxa"/>
          </w:tcPr>
          <w:p>
            <w:pPr>
              <w:pStyle w:val="11"/>
              <w:spacing w:before="0" w:line="310" w:lineRule="atLeast"/>
              <w:ind w:left="865" w:right="137" w:hanging="720"/>
              <w:jc w:val="left"/>
              <w:rPr>
                <w:sz w:val="24"/>
              </w:rPr>
            </w:pPr>
            <w:r>
              <w:rPr>
                <w:spacing w:val="-2"/>
                <w:w w:val="95"/>
                <w:sz w:val="24"/>
              </w:rPr>
              <w:t xml:space="preserve">美国科学院院刊 </w:t>
            </w:r>
            <w:r>
              <w:rPr>
                <w:w w:val="95"/>
                <w:sz w:val="24"/>
              </w:rPr>
              <w:t>PNAS</w:t>
            </w:r>
            <w:r>
              <w:rPr>
                <w:spacing w:val="-8"/>
                <w:w w:val="95"/>
                <w:sz w:val="24"/>
              </w:rPr>
              <w:t xml:space="preserve"> 或 </w:t>
            </w:r>
            <w:r>
              <w:rPr>
                <w:w w:val="95"/>
                <w:sz w:val="24"/>
              </w:rPr>
              <w:t>Science/Nature/Cell</w:t>
            </w:r>
            <w:r>
              <w:rPr>
                <w:spacing w:val="46"/>
                <w:w w:val="95"/>
                <w:sz w:val="24"/>
              </w:rPr>
              <w:t xml:space="preserve"> 系</w:t>
            </w:r>
            <w:r>
              <w:rPr>
                <w:spacing w:val="-6"/>
                <w:sz w:val="24"/>
              </w:rPr>
              <w:t xml:space="preserve">列子刊(影响因子大于 </w:t>
            </w:r>
            <w:r>
              <w:rPr>
                <w:sz w:val="24"/>
              </w:rPr>
              <w:t>10 分的子刊)</w:t>
            </w:r>
          </w:p>
        </w:tc>
        <w:tc>
          <w:tcPr>
            <w:tcW w:w="1585" w:type="dxa"/>
          </w:tcPr>
          <w:p>
            <w:pPr>
              <w:pStyle w:val="11"/>
              <w:spacing w:before="163"/>
              <w:ind w:left="591" w:right="584"/>
              <w:rPr>
                <w:sz w:val="24"/>
              </w:rPr>
            </w:pPr>
            <w:r>
              <w:rPr>
                <w:sz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849" w:type="dxa"/>
            <w:vMerge w:val="continue"/>
            <w:tcBorders>
              <w:top w:val="nil"/>
            </w:tcBorders>
          </w:tcPr>
          <w:p>
            <w:pPr>
              <w:rPr>
                <w:sz w:val="2"/>
                <w:szCs w:val="2"/>
              </w:rPr>
            </w:pPr>
          </w:p>
        </w:tc>
        <w:tc>
          <w:tcPr>
            <w:tcW w:w="5515" w:type="dxa"/>
          </w:tcPr>
          <w:p>
            <w:pPr>
              <w:pStyle w:val="11"/>
              <w:spacing w:before="3" w:line="289" w:lineRule="exact"/>
              <w:ind w:right="96"/>
              <w:rPr>
                <w:sz w:val="24"/>
              </w:rPr>
            </w:pPr>
            <w:r>
              <w:rPr>
                <w:spacing w:val="1"/>
                <w:w w:val="95"/>
                <w:sz w:val="24"/>
              </w:rPr>
              <w:t xml:space="preserve">理工农医 </w:t>
            </w:r>
            <w:r>
              <w:rPr>
                <w:w w:val="95"/>
                <w:sz w:val="24"/>
              </w:rPr>
              <w:t>JCR</w:t>
            </w:r>
            <w:r>
              <w:rPr>
                <w:spacing w:val="2"/>
                <w:w w:val="95"/>
                <w:sz w:val="24"/>
              </w:rPr>
              <w:t xml:space="preserve"> 一区</w:t>
            </w:r>
            <w:r>
              <w:rPr>
                <w:w w:val="95"/>
                <w:sz w:val="24"/>
              </w:rPr>
              <w:t>（SCI</w:t>
            </w:r>
            <w:r>
              <w:rPr>
                <w:spacing w:val="1"/>
                <w:w w:val="95"/>
                <w:sz w:val="24"/>
              </w:rPr>
              <w:t xml:space="preserve"> 收录、</w:t>
            </w:r>
            <w:r>
              <w:rPr>
                <w:w w:val="95"/>
                <w:sz w:val="24"/>
              </w:rPr>
              <w:t>SSCI/A&amp;HCI</w:t>
            </w:r>
            <w:r>
              <w:rPr>
                <w:spacing w:val="2"/>
                <w:w w:val="95"/>
                <w:sz w:val="24"/>
              </w:rPr>
              <w:t xml:space="preserve"> 收录</w:t>
            </w:r>
            <w:r>
              <w:rPr>
                <w:w w:val="95"/>
                <w:sz w:val="24"/>
              </w:rPr>
              <w:t>）</w:t>
            </w:r>
          </w:p>
        </w:tc>
        <w:tc>
          <w:tcPr>
            <w:tcW w:w="1585" w:type="dxa"/>
          </w:tcPr>
          <w:p>
            <w:pPr>
              <w:pStyle w:val="11"/>
              <w:spacing w:before="3" w:line="289" w:lineRule="exact"/>
              <w:ind w:left="591" w:right="584"/>
              <w:rPr>
                <w:sz w:val="24"/>
              </w:rPr>
            </w:pPr>
            <w:r>
              <w:rPr>
                <w:sz w:val="24"/>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849" w:type="dxa"/>
            <w:vMerge w:val="continue"/>
            <w:tcBorders>
              <w:top w:val="nil"/>
            </w:tcBorders>
          </w:tcPr>
          <w:p>
            <w:pPr>
              <w:rPr>
                <w:sz w:val="2"/>
                <w:szCs w:val="2"/>
              </w:rPr>
            </w:pPr>
          </w:p>
        </w:tc>
        <w:tc>
          <w:tcPr>
            <w:tcW w:w="5515" w:type="dxa"/>
          </w:tcPr>
          <w:p>
            <w:pPr>
              <w:pStyle w:val="11"/>
              <w:spacing w:line="289" w:lineRule="exact"/>
              <w:ind w:left="102" w:right="96"/>
              <w:rPr>
                <w:sz w:val="24"/>
              </w:rPr>
            </w:pPr>
            <w:r>
              <w:rPr>
                <w:spacing w:val="-1"/>
                <w:w w:val="95"/>
                <w:sz w:val="24"/>
              </w:rPr>
              <w:t xml:space="preserve">理工农医 </w:t>
            </w:r>
            <w:r>
              <w:rPr>
                <w:w w:val="95"/>
                <w:sz w:val="24"/>
              </w:rPr>
              <w:t>JCR</w:t>
            </w:r>
            <w:r>
              <w:rPr>
                <w:spacing w:val="-1"/>
                <w:w w:val="95"/>
                <w:sz w:val="24"/>
              </w:rPr>
              <w:t xml:space="preserve"> 二区</w:t>
            </w:r>
            <w:r>
              <w:rPr>
                <w:w w:val="95"/>
                <w:sz w:val="24"/>
              </w:rPr>
              <w:t>（SCI</w:t>
            </w:r>
            <w:r>
              <w:rPr>
                <w:spacing w:val="-1"/>
                <w:w w:val="95"/>
                <w:sz w:val="24"/>
              </w:rPr>
              <w:t xml:space="preserve"> 收录</w:t>
            </w:r>
            <w:r>
              <w:rPr>
                <w:w w:val="95"/>
                <w:sz w:val="24"/>
              </w:rPr>
              <w:t>）</w:t>
            </w:r>
          </w:p>
        </w:tc>
        <w:tc>
          <w:tcPr>
            <w:tcW w:w="1585" w:type="dxa"/>
          </w:tcPr>
          <w:p>
            <w:pPr>
              <w:pStyle w:val="11"/>
              <w:spacing w:line="289" w:lineRule="exact"/>
              <w:ind w:left="7"/>
              <w:rPr>
                <w:sz w:val="24"/>
              </w:rPr>
            </w:pPr>
            <w:r>
              <w:rPr>
                <w:sz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849" w:type="dxa"/>
            <w:vMerge w:val="continue"/>
            <w:tcBorders>
              <w:top w:val="nil"/>
            </w:tcBorders>
          </w:tcPr>
          <w:p>
            <w:pPr>
              <w:rPr>
                <w:sz w:val="2"/>
                <w:szCs w:val="2"/>
              </w:rPr>
            </w:pPr>
          </w:p>
        </w:tc>
        <w:tc>
          <w:tcPr>
            <w:tcW w:w="5515" w:type="dxa"/>
          </w:tcPr>
          <w:p>
            <w:pPr>
              <w:pStyle w:val="11"/>
              <w:spacing w:line="290" w:lineRule="exact"/>
              <w:ind w:left="102" w:right="96"/>
              <w:rPr>
                <w:sz w:val="24"/>
              </w:rPr>
            </w:pPr>
            <w:r>
              <w:rPr>
                <w:spacing w:val="-1"/>
                <w:w w:val="95"/>
                <w:sz w:val="24"/>
              </w:rPr>
              <w:t xml:space="preserve">理工农医 </w:t>
            </w:r>
            <w:r>
              <w:rPr>
                <w:w w:val="95"/>
                <w:sz w:val="24"/>
              </w:rPr>
              <w:t>JCR</w:t>
            </w:r>
            <w:r>
              <w:rPr>
                <w:spacing w:val="-1"/>
                <w:w w:val="95"/>
                <w:sz w:val="24"/>
              </w:rPr>
              <w:t xml:space="preserve"> 三区</w:t>
            </w:r>
            <w:r>
              <w:rPr>
                <w:w w:val="95"/>
                <w:sz w:val="24"/>
              </w:rPr>
              <w:t>（SCI</w:t>
            </w:r>
            <w:r>
              <w:rPr>
                <w:spacing w:val="-1"/>
                <w:w w:val="95"/>
                <w:sz w:val="24"/>
              </w:rPr>
              <w:t xml:space="preserve"> 收录</w:t>
            </w:r>
            <w:r>
              <w:rPr>
                <w:w w:val="95"/>
                <w:sz w:val="24"/>
              </w:rPr>
              <w:t>）</w:t>
            </w:r>
          </w:p>
        </w:tc>
        <w:tc>
          <w:tcPr>
            <w:tcW w:w="1585" w:type="dxa"/>
          </w:tcPr>
          <w:p>
            <w:pPr>
              <w:pStyle w:val="11"/>
              <w:spacing w:line="290" w:lineRule="exact"/>
              <w:ind w:left="7"/>
              <w:rPr>
                <w:sz w:val="24"/>
              </w:rPr>
            </w:pPr>
            <w:r>
              <w:rPr>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849" w:type="dxa"/>
            <w:vMerge w:val="continue"/>
            <w:tcBorders>
              <w:top w:val="nil"/>
            </w:tcBorders>
          </w:tcPr>
          <w:p>
            <w:pPr>
              <w:rPr>
                <w:sz w:val="2"/>
                <w:szCs w:val="2"/>
              </w:rPr>
            </w:pPr>
          </w:p>
        </w:tc>
        <w:tc>
          <w:tcPr>
            <w:tcW w:w="5515" w:type="dxa"/>
          </w:tcPr>
          <w:p>
            <w:pPr>
              <w:pStyle w:val="11"/>
              <w:spacing w:before="4" w:line="288" w:lineRule="exact"/>
              <w:ind w:left="102" w:right="96"/>
              <w:rPr>
                <w:sz w:val="24"/>
              </w:rPr>
            </w:pPr>
            <w:r>
              <w:rPr>
                <w:spacing w:val="-1"/>
                <w:w w:val="95"/>
                <w:sz w:val="24"/>
              </w:rPr>
              <w:t xml:space="preserve">理工农医 </w:t>
            </w:r>
            <w:r>
              <w:rPr>
                <w:w w:val="95"/>
                <w:sz w:val="24"/>
              </w:rPr>
              <w:t>JCR</w:t>
            </w:r>
            <w:r>
              <w:rPr>
                <w:spacing w:val="-1"/>
                <w:w w:val="95"/>
                <w:sz w:val="24"/>
              </w:rPr>
              <w:t xml:space="preserve"> 四区</w:t>
            </w:r>
            <w:r>
              <w:rPr>
                <w:w w:val="95"/>
                <w:sz w:val="24"/>
              </w:rPr>
              <w:t>（SCI</w:t>
            </w:r>
            <w:r>
              <w:rPr>
                <w:spacing w:val="-1"/>
                <w:w w:val="95"/>
                <w:sz w:val="24"/>
              </w:rPr>
              <w:t xml:space="preserve"> 收录</w:t>
            </w:r>
            <w:r>
              <w:rPr>
                <w:w w:val="95"/>
                <w:sz w:val="24"/>
              </w:rPr>
              <w:t>）</w:t>
            </w:r>
          </w:p>
        </w:tc>
        <w:tc>
          <w:tcPr>
            <w:tcW w:w="1585" w:type="dxa"/>
          </w:tcPr>
          <w:p>
            <w:pPr>
              <w:pStyle w:val="11"/>
              <w:spacing w:before="4" w:line="288" w:lineRule="exact"/>
              <w:ind w:left="7"/>
              <w:rPr>
                <w:sz w:val="24"/>
              </w:rPr>
            </w:pPr>
            <w:r>
              <w:rPr>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849" w:type="dxa"/>
            <w:vMerge w:val="continue"/>
            <w:tcBorders>
              <w:top w:val="nil"/>
            </w:tcBorders>
          </w:tcPr>
          <w:p>
            <w:pPr>
              <w:rPr>
                <w:sz w:val="2"/>
                <w:szCs w:val="2"/>
              </w:rPr>
            </w:pPr>
          </w:p>
        </w:tc>
        <w:tc>
          <w:tcPr>
            <w:tcW w:w="5515" w:type="dxa"/>
          </w:tcPr>
          <w:p>
            <w:pPr>
              <w:pStyle w:val="11"/>
              <w:spacing w:before="3" w:line="288" w:lineRule="exact"/>
              <w:ind w:right="96"/>
              <w:rPr>
                <w:sz w:val="24"/>
              </w:rPr>
            </w:pPr>
            <w:r>
              <w:rPr>
                <w:sz w:val="24"/>
              </w:rPr>
              <w:t>人文社会科学期刊-权威</w:t>
            </w:r>
          </w:p>
        </w:tc>
        <w:tc>
          <w:tcPr>
            <w:tcW w:w="1585" w:type="dxa"/>
          </w:tcPr>
          <w:p>
            <w:pPr>
              <w:pStyle w:val="11"/>
              <w:spacing w:before="3" w:line="288" w:lineRule="exact"/>
              <w:ind w:left="591" w:right="584"/>
              <w:rPr>
                <w:sz w:val="24"/>
              </w:rPr>
            </w:pPr>
            <w:r>
              <w:rPr>
                <w:sz w:val="24"/>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849" w:type="dxa"/>
            <w:vMerge w:val="continue"/>
            <w:tcBorders>
              <w:top w:val="nil"/>
            </w:tcBorders>
          </w:tcPr>
          <w:p>
            <w:pPr>
              <w:rPr>
                <w:sz w:val="2"/>
                <w:szCs w:val="2"/>
              </w:rPr>
            </w:pPr>
          </w:p>
        </w:tc>
        <w:tc>
          <w:tcPr>
            <w:tcW w:w="5515" w:type="dxa"/>
          </w:tcPr>
          <w:p>
            <w:pPr>
              <w:pStyle w:val="11"/>
              <w:spacing w:before="3" w:line="289" w:lineRule="exact"/>
              <w:ind w:right="96"/>
              <w:rPr>
                <w:sz w:val="24"/>
              </w:rPr>
            </w:pPr>
            <w:r>
              <w:rPr>
                <w:sz w:val="24"/>
              </w:rPr>
              <w:t>人文社会科学期刊-一级</w:t>
            </w:r>
          </w:p>
        </w:tc>
        <w:tc>
          <w:tcPr>
            <w:tcW w:w="1585" w:type="dxa"/>
          </w:tcPr>
          <w:p>
            <w:pPr>
              <w:pStyle w:val="11"/>
              <w:spacing w:before="3" w:line="289" w:lineRule="exact"/>
              <w:ind w:left="7"/>
              <w:rPr>
                <w:sz w:val="24"/>
              </w:rPr>
            </w:pPr>
            <w:r>
              <w:rPr>
                <w:sz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849" w:type="dxa"/>
            <w:vMerge w:val="continue"/>
            <w:tcBorders>
              <w:top w:val="nil"/>
            </w:tcBorders>
          </w:tcPr>
          <w:p>
            <w:pPr>
              <w:rPr>
                <w:sz w:val="2"/>
                <w:szCs w:val="2"/>
              </w:rPr>
            </w:pPr>
          </w:p>
        </w:tc>
        <w:tc>
          <w:tcPr>
            <w:tcW w:w="5515" w:type="dxa"/>
          </w:tcPr>
          <w:p>
            <w:pPr>
              <w:pStyle w:val="11"/>
              <w:spacing w:before="3"/>
              <w:ind w:right="96"/>
              <w:rPr>
                <w:sz w:val="24"/>
              </w:rPr>
            </w:pPr>
            <w:r>
              <w:rPr>
                <w:sz w:val="24"/>
              </w:rPr>
              <w:t>人文社会科学期刊-二级</w:t>
            </w:r>
          </w:p>
          <w:p>
            <w:pPr>
              <w:pStyle w:val="11"/>
              <w:spacing w:before="4" w:line="289" w:lineRule="exact"/>
              <w:ind w:left="102" w:right="96"/>
              <w:rPr>
                <w:sz w:val="24"/>
              </w:rPr>
            </w:pPr>
            <w:r>
              <w:rPr>
                <w:sz w:val="24"/>
              </w:rPr>
              <w:t>（CSSCI</w:t>
            </w:r>
            <w:r>
              <w:rPr>
                <w:spacing w:val="-8"/>
                <w:sz w:val="24"/>
              </w:rPr>
              <w:t xml:space="preserve"> 收录，不含扩展源期刊</w:t>
            </w:r>
            <w:r>
              <w:rPr>
                <w:sz w:val="24"/>
              </w:rPr>
              <w:t>）</w:t>
            </w:r>
          </w:p>
        </w:tc>
        <w:tc>
          <w:tcPr>
            <w:tcW w:w="1585" w:type="dxa"/>
          </w:tcPr>
          <w:p>
            <w:pPr>
              <w:pStyle w:val="11"/>
              <w:spacing w:before="159"/>
              <w:ind w:left="7"/>
              <w:rPr>
                <w:sz w:val="24"/>
              </w:rPr>
            </w:pPr>
            <w:r>
              <w:rPr>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849" w:type="dxa"/>
            <w:vMerge w:val="continue"/>
            <w:tcBorders>
              <w:top w:val="nil"/>
            </w:tcBorders>
          </w:tcPr>
          <w:p>
            <w:pPr>
              <w:rPr>
                <w:sz w:val="2"/>
                <w:szCs w:val="2"/>
              </w:rPr>
            </w:pPr>
          </w:p>
        </w:tc>
        <w:tc>
          <w:tcPr>
            <w:tcW w:w="5515" w:type="dxa"/>
          </w:tcPr>
          <w:p>
            <w:pPr>
              <w:pStyle w:val="11"/>
              <w:spacing w:line="289" w:lineRule="exact"/>
              <w:ind w:right="96"/>
              <w:rPr>
                <w:sz w:val="24"/>
              </w:rPr>
            </w:pPr>
            <w:r>
              <w:rPr>
                <w:sz w:val="24"/>
              </w:rPr>
              <w:t>其他一级期刊（理工农医）</w:t>
            </w:r>
          </w:p>
        </w:tc>
        <w:tc>
          <w:tcPr>
            <w:tcW w:w="1585" w:type="dxa"/>
          </w:tcPr>
          <w:p>
            <w:pPr>
              <w:pStyle w:val="11"/>
              <w:spacing w:line="289" w:lineRule="exact"/>
              <w:ind w:left="7"/>
              <w:rPr>
                <w:sz w:val="24"/>
              </w:rPr>
            </w:pPr>
            <w:r>
              <w:rPr>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849" w:type="dxa"/>
            <w:vMerge w:val="continue"/>
            <w:tcBorders>
              <w:top w:val="nil"/>
            </w:tcBorders>
          </w:tcPr>
          <w:p>
            <w:pPr>
              <w:rPr>
                <w:sz w:val="2"/>
                <w:szCs w:val="2"/>
              </w:rPr>
            </w:pPr>
          </w:p>
        </w:tc>
        <w:tc>
          <w:tcPr>
            <w:tcW w:w="5515" w:type="dxa"/>
          </w:tcPr>
          <w:p>
            <w:pPr>
              <w:pStyle w:val="11"/>
              <w:spacing w:line="290" w:lineRule="exact"/>
              <w:ind w:right="96"/>
              <w:rPr>
                <w:sz w:val="24"/>
              </w:rPr>
            </w:pPr>
            <w:r>
              <w:rPr>
                <w:sz w:val="24"/>
              </w:rPr>
              <w:t>其他二级期刊（理工农医）</w:t>
            </w:r>
          </w:p>
        </w:tc>
        <w:tc>
          <w:tcPr>
            <w:tcW w:w="1585" w:type="dxa"/>
          </w:tcPr>
          <w:p>
            <w:pPr>
              <w:pStyle w:val="11"/>
              <w:spacing w:line="290" w:lineRule="exact"/>
              <w:ind w:left="7"/>
              <w:rPr>
                <w:sz w:val="24"/>
              </w:rPr>
            </w:pPr>
            <w:r>
              <w:rPr>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849" w:type="dxa"/>
            <w:vMerge w:val="continue"/>
            <w:tcBorders>
              <w:top w:val="nil"/>
            </w:tcBorders>
          </w:tcPr>
          <w:p>
            <w:pPr>
              <w:rPr>
                <w:sz w:val="2"/>
                <w:szCs w:val="2"/>
              </w:rPr>
            </w:pPr>
          </w:p>
        </w:tc>
        <w:tc>
          <w:tcPr>
            <w:tcW w:w="5515" w:type="dxa"/>
          </w:tcPr>
          <w:p>
            <w:pPr>
              <w:pStyle w:val="11"/>
              <w:spacing w:before="4" w:line="288" w:lineRule="exact"/>
              <w:ind w:right="96"/>
              <w:rPr>
                <w:sz w:val="24"/>
              </w:rPr>
            </w:pPr>
            <w:r>
              <w:rPr>
                <w:sz w:val="24"/>
              </w:rPr>
              <w:t>其他合法期刊</w:t>
            </w:r>
          </w:p>
        </w:tc>
        <w:tc>
          <w:tcPr>
            <w:tcW w:w="1585" w:type="dxa"/>
          </w:tcPr>
          <w:p>
            <w:pPr>
              <w:pStyle w:val="11"/>
              <w:spacing w:before="4" w:line="288" w:lineRule="exact"/>
              <w:ind w:left="7"/>
              <w:rPr>
                <w:sz w:val="24"/>
              </w:rPr>
            </w:pPr>
            <w:r>
              <w:rPr>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849" w:type="dxa"/>
            <w:vMerge w:val="restart"/>
          </w:tcPr>
          <w:p>
            <w:pPr>
              <w:pStyle w:val="11"/>
              <w:spacing w:before="5"/>
              <w:ind w:left="0"/>
              <w:jc w:val="left"/>
              <w:rPr>
                <w:rFonts w:ascii="Microsoft YaHei UI"/>
                <w:b/>
                <w:sz w:val="18"/>
              </w:rPr>
            </w:pPr>
          </w:p>
          <w:p>
            <w:pPr>
              <w:pStyle w:val="11"/>
              <w:spacing w:before="0"/>
              <w:ind w:left="444"/>
              <w:jc w:val="left"/>
              <w:rPr>
                <w:sz w:val="24"/>
              </w:rPr>
            </w:pPr>
            <w:r>
              <w:rPr>
                <w:sz w:val="24"/>
              </w:rPr>
              <w:t>专利授权</w:t>
            </w:r>
          </w:p>
        </w:tc>
        <w:tc>
          <w:tcPr>
            <w:tcW w:w="5515" w:type="dxa"/>
          </w:tcPr>
          <w:p>
            <w:pPr>
              <w:pStyle w:val="11"/>
              <w:spacing w:before="4" w:line="288" w:lineRule="exact"/>
              <w:ind w:right="96"/>
              <w:rPr>
                <w:sz w:val="24"/>
              </w:rPr>
            </w:pPr>
            <w:r>
              <w:rPr>
                <w:sz w:val="24"/>
              </w:rPr>
              <w:t>国家发明专利授权</w:t>
            </w:r>
          </w:p>
        </w:tc>
        <w:tc>
          <w:tcPr>
            <w:tcW w:w="1585" w:type="dxa"/>
          </w:tcPr>
          <w:p>
            <w:pPr>
              <w:pStyle w:val="11"/>
              <w:spacing w:before="4" w:line="288" w:lineRule="exact"/>
              <w:ind w:left="591" w:right="584"/>
              <w:rPr>
                <w:sz w:val="24"/>
              </w:rPr>
            </w:pPr>
            <w:r>
              <w:rPr>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849" w:type="dxa"/>
            <w:vMerge w:val="continue"/>
            <w:tcBorders>
              <w:top w:val="nil"/>
            </w:tcBorders>
          </w:tcPr>
          <w:p>
            <w:pPr>
              <w:rPr>
                <w:sz w:val="2"/>
                <w:szCs w:val="2"/>
              </w:rPr>
            </w:pPr>
          </w:p>
        </w:tc>
        <w:tc>
          <w:tcPr>
            <w:tcW w:w="5515" w:type="dxa"/>
          </w:tcPr>
          <w:p>
            <w:pPr>
              <w:pStyle w:val="11"/>
              <w:spacing w:before="3" w:line="289" w:lineRule="exact"/>
              <w:ind w:right="96"/>
              <w:rPr>
                <w:sz w:val="24"/>
              </w:rPr>
            </w:pPr>
            <w:r>
              <w:rPr>
                <w:sz w:val="24"/>
              </w:rPr>
              <w:t>国家实用新型专利授权</w:t>
            </w:r>
          </w:p>
        </w:tc>
        <w:tc>
          <w:tcPr>
            <w:tcW w:w="1585" w:type="dxa"/>
          </w:tcPr>
          <w:p>
            <w:pPr>
              <w:pStyle w:val="11"/>
              <w:spacing w:before="3" w:line="289" w:lineRule="exact"/>
              <w:ind w:left="7"/>
              <w:rPr>
                <w:sz w:val="24"/>
              </w:rPr>
            </w:pPr>
            <w:r>
              <w:rPr>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849" w:type="dxa"/>
            <w:vMerge w:val="continue"/>
            <w:tcBorders>
              <w:top w:val="nil"/>
            </w:tcBorders>
          </w:tcPr>
          <w:p>
            <w:pPr>
              <w:rPr>
                <w:sz w:val="2"/>
                <w:szCs w:val="2"/>
              </w:rPr>
            </w:pPr>
          </w:p>
        </w:tc>
        <w:tc>
          <w:tcPr>
            <w:tcW w:w="5515" w:type="dxa"/>
          </w:tcPr>
          <w:p>
            <w:pPr>
              <w:pStyle w:val="11"/>
              <w:spacing w:before="3" w:line="289" w:lineRule="exact"/>
              <w:ind w:right="96"/>
              <w:rPr>
                <w:sz w:val="24"/>
              </w:rPr>
            </w:pPr>
            <w:r>
              <w:rPr>
                <w:sz w:val="24"/>
              </w:rPr>
              <w:t>软件著作权</w:t>
            </w:r>
          </w:p>
        </w:tc>
        <w:tc>
          <w:tcPr>
            <w:tcW w:w="1585" w:type="dxa"/>
          </w:tcPr>
          <w:p>
            <w:pPr>
              <w:pStyle w:val="11"/>
              <w:spacing w:before="3" w:line="289" w:lineRule="exact"/>
              <w:ind w:left="7"/>
              <w:rPr>
                <w:sz w:val="24"/>
              </w:rPr>
            </w:pPr>
            <w:r>
              <w:rPr>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849" w:type="dxa"/>
            <w:vMerge w:val="restart"/>
          </w:tcPr>
          <w:p>
            <w:pPr>
              <w:pStyle w:val="11"/>
              <w:spacing w:before="3"/>
              <w:ind w:left="0"/>
              <w:jc w:val="left"/>
              <w:rPr>
                <w:rFonts w:ascii="Microsoft YaHei UI"/>
                <w:b/>
                <w:sz w:val="28"/>
              </w:rPr>
            </w:pPr>
          </w:p>
          <w:p>
            <w:pPr>
              <w:pStyle w:val="11"/>
              <w:spacing w:before="0" w:line="242" w:lineRule="auto"/>
              <w:ind w:left="108" w:right="96"/>
              <w:rPr>
                <w:sz w:val="24"/>
              </w:rPr>
            </w:pPr>
            <w:r>
              <w:rPr>
                <w:sz w:val="24"/>
              </w:rPr>
              <w:t>教务处认定的</w:t>
            </w:r>
            <w:r>
              <w:rPr>
                <w:spacing w:val="-8"/>
                <w:sz w:val="24"/>
              </w:rPr>
              <w:t>一类竞赛</w:t>
            </w:r>
            <w:r>
              <w:rPr>
                <w:spacing w:val="-7"/>
                <w:sz w:val="24"/>
              </w:rPr>
              <w:t>（包含</w:t>
            </w:r>
            <w:r>
              <w:rPr>
                <w:sz w:val="24"/>
              </w:rPr>
              <w:t>浙江省大学生药学大赛）</w:t>
            </w:r>
          </w:p>
        </w:tc>
        <w:tc>
          <w:tcPr>
            <w:tcW w:w="5515" w:type="dxa"/>
          </w:tcPr>
          <w:p>
            <w:pPr>
              <w:pStyle w:val="11"/>
              <w:spacing w:line="289" w:lineRule="exact"/>
              <w:ind w:right="96"/>
              <w:rPr>
                <w:sz w:val="24"/>
              </w:rPr>
            </w:pPr>
            <w:r>
              <w:rPr>
                <w:sz w:val="24"/>
              </w:rPr>
              <w:t>国家特等奖</w:t>
            </w:r>
          </w:p>
        </w:tc>
        <w:tc>
          <w:tcPr>
            <w:tcW w:w="1585" w:type="dxa"/>
          </w:tcPr>
          <w:p>
            <w:pPr>
              <w:pStyle w:val="11"/>
              <w:spacing w:line="289" w:lineRule="exact"/>
              <w:ind w:left="591" w:right="584"/>
              <w:rPr>
                <w:sz w:val="24"/>
              </w:rPr>
            </w:pPr>
            <w:r>
              <w:rPr>
                <w:sz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849" w:type="dxa"/>
            <w:vMerge w:val="continue"/>
            <w:tcBorders>
              <w:top w:val="nil"/>
            </w:tcBorders>
          </w:tcPr>
          <w:p>
            <w:pPr>
              <w:rPr>
                <w:sz w:val="2"/>
                <w:szCs w:val="2"/>
              </w:rPr>
            </w:pPr>
          </w:p>
        </w:tc>
        <w:tc>
          <w:tcPr>
            <w:tcW w:w="5515" w:type="dxa"/>
          </w:tcPr>
          <w:p>
            <w:pPr>
              <w:pStyle w:val="11"/>
              <w:spacing w:line="290" w:lineRule="exact"/>
              <w:ind w:right="96"/>
              <w:rPr>
                <w:sz w:val="24"/>
              </w:rPr>
            </w:pPr>
            <w:r>
              <w:rPr>
                <w:sz w:val="24"/>
              </w:rPr>
              <w:t>国家一等奖</w:t>
            </w:r>
          </w:p>
        </w:tc>
        <w:tc>
          <w:tcPr>
            <w:tcW w:w="1585" w:type="dxa"/>
          </w:tcPr>
          <w:p>
            <w:pPr>
              <w:pStyle w:val="11"/>
              <w:spacing w:line="290" w:lineRule="exact"/>
              <w:ind w:left="591" w:right="584"/>
              <w:rPr>
                <w:sz w:val="24"/>
              </w:rPr>
            </w:pPr>
            <w:r>
              <w:rPr>
                <w:sz w:val="24"/>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849" w:type="dxa"/>
            <w:vMerge w:val="continue"/>
            <w:tcBorders>
              <w:top w:val="nil"/>
            </w:tcBorders>
          </w:tcPr>
          <w:p>
            <w:pPr>
              <w:rPr>
                <w:sz w:val="2"/>
                <w:szCs w:val="2"/>
              </w:rPr>
            </w:pPr>
          </w:p>
        </w:tc>
        <w:tc>
          <w:tcPr>
            <w:tcW w:w="5515" w:type="dxa"/>
          </w:tcPr>
          <w:p>
            <w:pPr>
              <w:pStyle w:val="11"/>
              <w:spacing w:before="4" w:line="288" w:lineRule="exact"/>
              <w:ind w:right="96"/>
              <w:rPr>
                <w:sz w:val="24"/>
              </w:rPr>
            </w:pPr>
            <w:r>
              <w:rPr>
                <w:sz w:val="24"/>
              </w:rPr>
              <w:t>国家二等、省特等奖</w:t>
            </w:r>
          </w:p>
        </w:tc>
        <w:tc>
          <w:tcPr>
            <w:tcW w:w="1585" w:type="dxa"/>
          </w:tcPr>
          <w:p>
            <w:pPr>
              <w:pStyle w:val="11"/>
              <w:spacing w:before="4" w:line="288" w:lineRule="exact"/>
              <w:ind w:left="7"/>
              <w:rPr>
                <w:sz w:val="24"/>
              </w:rPr>
            </w:pPr>
            <w:r>
              <w:rPr>
                <w:sz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849" w:type="dxa"/>
            <w:vMerge w:val="continue"/>
            <w:tcBorders>
              <w:top w:val="nil"/>
            </w:tcBorders>
          </w:tcPr>
          <w:p>
            <w:pPr>
              <w:rPr>
                <w:sz w:val="2"/>
                <w:szCs w:val="2"/>
              </w:rPr>
            </w:pPr>
          </w:p>
        </w:tc>
        <w:tc>
          <w:tcPr>
            <w:tcW w:w="5515" w:type="dxa"/>
          </w:tcPr>
          <w:p>
            <w:pPr>
              <w:pStyle w:val="11"/>
              <w:spacing w:before="4" w:line="288" w:lineRule="exact"/>
              <w:ind w:right="96"/>
              <w:rPr>
                <w:sz w:val="24"/>
              </w:rPr>
            </w:pPr>
            <w:r>
              <w:rPr>
                <w:sz w:val="24"/>
              </w:rPr>
              <w:t>国家三等、省一等奖</w:t>
            </w:r>
          </w:p>
        </w:tc>
        <w:tc>
          <w:tcPr>
            <w:tcW w:w="1585" w:type="dxa"/>
          </w:tcPr>
          <w:p>
            <w:pPr>
              <w:pStyle w:val="11"/>
              <w:spacing w:before="4" w:line="288" w:lineRule="exact"/>
              <w:ind w:left="7"/>
              <w:rPr>
                <w:sz w:val="24"/>
              </w:rPr>
            </w:pPr>
            <w:r>
              <w:rPr>
                <w:sz w:val="24"/>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849" w:type="dxa"/>
            <w:vMerge w:val="continue"/>
            <w:tcBorders>
              <w:top w:val="nil"/>
            </w:tcBorders>
          </w:tcPr>
          <w:p>
            <w:pPr>
              <w:rPr>
                <w:sz w:val="2"/>
                <w:szCs w:val="2"/>
              </w:rPr>
            </w:pPr>
          </w:p>
        </w:tc>
        <w:tc>
          <w:tcPr>
            <w:tcW w:w="5515" w:type="dxa"/>
          </w:tcPr>
          <w:p>
            <w:pPr>
              <w:pStyle w:val="11"/>
              <w:spacing w:before="3" w:line="289" w:lineRule="exact"/>
              <w:ind w:right="96"/>
              <w:rPr>
                <w:sz w:val="24"/>
              </w:rPr>
            </w:pPr>
            <w:r>
              <w:rPr>
                <w:sz w:val="24"/>
              </w:rPr>
              <w:t>国家优秀奖、省二等奖</w:t>
            </w:r>
          </w:p>
        </w:tc>
        <w:tc>
          <w:tcPr>
            <w:tcW w:w="1585" w:type="dxa"/>
          </w:tcPr>
          <w:p>
            <w:pPr>
              <w:pStyle w:val="11"/>
              <w:spacing w:before="3" w:line="289" w:lineRule="exact"/>
              <w:ind w:left="7"/>
              <w:rPr>
                <w:sz w:val="24"/>
              </w:rPr>
            </w:pPr>
            <w:r>
              <w:rPr>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849" w:type="dxa"/>
            <w:vMerge w:val="continue"/>
            <w:tcBorders>
              <w:top w:val="nil"/>
            </w:tcBorders>
          </w:tcPr>
          <w:p>
            <w:pPr>
              <w:rPr>
                <w:sz w:val="2"/>
                <w:szCs w:val="2"/>
              </w:rPr>
            </w:pPr>
          </w:p>
        </w:tc>
        <w:tc>
          <w:tcPr>
            <w:tcW w:w="5515" w:type="dxa"/>
          </w:tcPr>
          <w:p>
            <w:pPr>
              <w:pStyle w:val="11"/>
              <w:spacing w:before="3" w:line="289" w:lineRule="exact"/>
              <w:ind w:right="96"/>
              <w:rPr>
                <w:sz w:val="24"/>
              </w:rPr>
            </w:pPr>
            <w:r>
              <w:rPr>
                <w:sz w:val="24"/>
              </w:rPr>
              <w:t>省三等奖</w:t>
            </w:r>
          </w:p>
        </w:tc>
        <w:tc>
          <w:tcPr>
            <w:tcW w:w="1585" w:type="dxa"/>
          </w:tcPr>
          <w:p>
            <w:pPr>
              <w:pStyle w:val="11"/>
              <w:spacing w:before="3" w:line="289" w:lineRule="exact"/>
              <w:ind w:left="7"/>
              <w:rPr>
                <w:sz w:val="24"/>
              </w:rPr>
            </w:pPr>
            <w:r>
              <w:rPr>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849" w:type="dxa"/>
            <w:vMerge w:val="continue"/>
            <w:tcBorders>
              <w:top w:val="nil"/>
            </w:tcBorders>
          </w:tcPr>
          <w:p>
            <w:pPr>
              <w:rPr>
                <w:sz w:val="2"/>
                <w:szCs w:val="2"/>
              </w:rPr>
            </w:pPr>
          </w:p>
        </w:tc>
        <w:tc>
          <w:tcPr>
            <w:tcW w:w="5515" w:type="dxa"/>
          </w:tcPr>
          <w:p>
            <w:pPr>
              <w:pStyle w:val="11"/>
              <w:spacing w:line="289" w:lineRule="exact"/>
              <w:ind w:right="96"/>
              <w:rPr>
                <w:sz w:val="24"/>
              </w:rPr>
            </w:pPr>
            <w:r>
              <w:rPr>
                <w:sz w:val="24"/>
              </w:rPr>
              <w:t>省级优秀奖</w:t>
            </w:r>
          </w:p>
        </w:tc>
        <w:tc>
          <w:tcPr>
            <w:tcW w:w="1585" w:type="dxa"/>
          </w:tcPr>
          <w:p>
            <w:pPr>
              <w:pStyle w:val="11"/>
              <w:spacing w:line="289" w:lineRule="exact"/>
              <w:ind w:left="7"/>
              <w:rPr>
                <w:sz w:val="24"/>
              </w:rPr>
            </w:pPr>
            <w:r>
              <w:rPr>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849" w:type="dxa"/>
            <w:vMerge w:val="restart"/>
          </w:tcPr>
          <w:p>
            <w:pPr>
              <w:pStyle w:val="11"/>
              <w:spacing w:before="189" w:line="242" w:lineRule="auto"/>
              <w:ind w:left="108" w:right="96"/>
              <w:rPr>
                <w:sz w:val="24"/>
              </w:rPr>
            </w:pPr>
            <w:r>
              <w:rPr>
                <w:sz w:val="24"/>
              </w:rPr>
              <w:t>教务处认定的</w:t>
            </w:r>
            <w:r>
              <w:rPr>
                <w:spacing w:val="-8"/>
                <w:sz w:val="24"/>
              </w:rPr>
              <w:t>二类竞赛</w:t>
            </w:r>
            <w:r>
              <w:rPr>
                <w:spacing w:val="-7"/>
                <w:sz w:val="24"/>
              </w:rPr>
              <w:t>（包括</w:t>
            </w:r>
            <w:r>
              <w:rPr>
                <w:sz w:val="24"/>
              </w:rPr>
              <w:t>全国大学生基础医学创新研究暨实验设计论坛）</w:t>
            </w:r>
          </w:p>
        </w:tc>
        <w:tc>
          <w:tcPr>
            <w:tcW w:w="5515" w:type="dxa"/>
          </w:tcPr>
          <w:p>
            <w:pPr>
              <w:pStyle w:val="11"/>
              <w:spacing w:line="290" w:lineRule="exact"/>
              <w:ind w:right="96"/>
              <w:rPr>
                <w:sz w:val="24"/>
              </w:rPr>
            </w:pPr>
            <w:r>
              <w:rPr>
                <w:sz w:val="24"/>
              </w:rPr>
              <w:t>国家特等奖</w:t>
            </w:r>
          </w:p>
        </w:tc>
        <w:tc>
          <w:tcPr>
            <w:tcW w:w="1585" w:type="dxa"/>
          </w:tcPr>
          <w:p>
            <w:pPr>
              <w:pStyle w:val="11"/>
              <w:spacing w:line="290" w:lineRule="exact"/>
              <w:ind w:left="7"/>
              <w:rPr>
                <w:sz w:val="24"/>
              </w:rPr>
            </w:pPr>
            <w:r>
              <w:rPr>
                <w:sz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849" w:type="dxa"/>
            <w:vMerge w:val="continue"/>
            <w:tcBorders>
              <w:top w:val="nil"/>
            </w:tcBorders>
          </w:tcPr>
          <w:p>
            <w:pPr>
              <w:rPr>
                <w:sz w:val="2"/>
                <w:szCs w:val="2"/>
              </w:rPr>
            </w:pPr>
          </w:p>
        </w:tc>
        <w:tc>
          <w:tcPr>
            <w:tcW w:w="5515" w:type="dxa"/>
          </w:tcPr>
          <w:p>
            <w:pPr>
              <w:pStyle w:val="11"/>
              <w:spacing w:before="4" w:line="288" w:lineRule="exact"/>
              <w:ind w:right="96"/>
              <w:rPr>
                <w:sz w:val="24"/>
              </w:rPr>
            </w:pPr>
            <w:r>
              <w:rPr>
                <w:sz w:val="24"/>
              </w:rPr>
              <w:t>国家一等奖</w:t>
            </w:r>
          </w:p>
        </w:tc>
        <w:tc>
          <w:tcPr>
            <w:tcW w:w="1585" w:type="dxa"/>
          </w:tcPr>
          <w:p>
            <w:pPr>
              <w:pStyle w:val="11"/>
              <w:spacing w:before="4" w:line="288" w:lineRule="exact"/>
              <w:ind w:left="7"/>
              <w:rPr>
                <w:sz w:val="24"/>
              </w:rPr>
            </w:pPr>
            <w:r>
              <w:rPr>
                <w:sz w:val="24"/>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849" w:type="dxa"/>
            <w:vMerge w:val="continue"/>
            <w:tcBorders>
              <w:top w:val="nil"/>
            </w:tcBorders>
          </w:tcPr>
          <w:p>
            <w:pPr>
              <w:rPr>
                <w:sz w:val="2"/>
                <w:szCs w:val="2"/>
              </w:rPr>
            </w:pPr>
          </w:p>
        </w:tc>
        <w:tc>
          <w:tcPr>
            <w:tcW w:w="5515" w:type="dxa"/>
          </w:tcPr>
          <w:p>
            <w:pPr>
              <w:pStyle w:val="11"/>
              <w:spacing w:before="4" w:line="288" w:lineRule="exact"/>
              <w:ind w:right="96"/>
              <w:rPr>
                <w:sz w:val="24"/>
              </w:rPr>
            </w:pPr>
            <w:r>
              <w:rPr>
                <w:sz w:val="24"/>
              </w:rPr>
              <w:t>国家二等、省特等奖</w:t>
            </w:r>
          </w:p>
        </w:tc>
        <w:tc>
          <w:tcPr>
            <w:tcW w:w="1585" w:type="dxa"/>
          </w:tcPr>
          <w:p>
            <w:pPr>
              <w:pStyle w:val="11"/>
              <w:spacing w:before="4" w:line="288" w:lineRule="exact"/>
              <w:ind w:left="7"/>
              <w:rPr>
                <w:sz w:val="24"/>
              </w:rPr>
            </w:pPr>
            <w:r>
              <w:rPr>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849" w:type="dxa"/>
            <w:vMerge w:val="continue"/>
            <w:tcBorders>
              <w:top w:val="nil"/>
            </w:tcBorders>
          </w:tcPr>
          <w:p>
            <w:pPr>
              <w:rPr>
                <w:sz w:val="2"/>
                <w:szCs w:val="2"/>
              </w:rPr>
            </w:pPr>
          </w:p>
        </w:tc>
        <w:tc>
          <w:tcPr>
            <w:tcW w:w="5515" w:type="dxa"/>
          </w:tcPr>
          <w:p>
            <w:pPr>
              <w:pStyle w:val="11"/>
              <w:spacing w:before="3" w:line="289" w:lineRule="exact"/>
              <w:ind w:right="96"/>
              <w:rPr>
                <w:sz w:val="24"/>
              </w:rPr>
            </w:pPr>
            <w:r>
              <w:rPr>
                <w:sz w:val="24"/>
              </w:rPr>
              <w:t>国家三等、省一等奖</w:t>
            </w:r>
          </w:p>
        </w:tc>
        <w:tc>
          <w:tcPr>
            <w:tcW w:w="1585" w:type="dxa"/>
          </w:tcPr>
          <w:p>
            <w:pPr>
              <w:pStyle w:val="11"/>
              <w:spacing w:before="3" w:line="289" w:lineRule="exact"/>
              <w:ind w:left="7"/>
              <w:rPr>
                <w:sz w:val="24"/>
              </w:rPr>
            </w:pPr>
            <w:r>
              <w:rPr>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849" w:type="dxa"/>
            <w:vMerge w:val="continue"/>
            <w:tcBorders>
              <w:top w:val="nil"/>
            </w:tcBorders>
          </w:tcPr>
          <w:p>
            <w:pPr>
              <w:rPr>
                <w:sz w:val="2"/>
                <w:szCs w:val="2"/>
              </w:rPr>
            </w:pPr>
          </w:p>
        </w:tc>
        <w:tc>
          <w:tcPr>
            <w:tcW w:w="5515" w:type="dxa"/>
          </w:tcPr>
          <w:p>
            <w:pPr>
              <w:pStyle w:val="11"/>
              <w:spacing w:before="3" w:line="289" w:lineRule="exact"/>
              <w:ind w:right="96"/>
              <w:rPr>
                <w:sz w:val="24"/>
              </w:rPr>
            </w:pPr>
            <w:r>
              <w:rPr>
                <w:sz w:val="24"/>
              </w:rPr>
              <w:t>国家优秀奖、省二等奖</w:t>
            </w:r>
          </w:p>
        </w:tc>
        <w:tc>
          <w:tcPr>
            <w:tcW w:w="1585" w:type="dxa"/>
          </w:tcPr>
          <w:p>
            <w:pPr>
              <w:pStyle w:val="11"/>
              <w:spacing w:before="3" w:line="289" w:lineRule="exact"/>
              <w:ind w:left="7"/>
              <w:rPr>
                <w:sz w:val="24"/>
              </w:rPr>
            </w:pPr>
            <w:r>
              <w:rPr>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849" w:type="dxa"/>
            <w:vMerge w:val="continue"/>
            <w:tcBorders>
              <w:top w:val="nil"/>
            </w:tcBorders>
          </w:tcPr>
          <w:p>
            <w:pPr>
              <w:rPr>
                <w:sz w:val="2"/>
                <w:szCs w:val="2"/>
              </w:rPr>
            </w:pPr>
          </w:p>
        </w:tc>
        <w:tc>
          <w:tcPr>
            <w:tcW w:w="5515" w:type="dxa"/>
          </w:tcPr>
          <w:p>
            <w:pPr>
              <w:pStyle w:val="11"/>
              <w:spacing w:line="289" w:lineRule="exact"/>
              <w:ind w:right="96"/>
              <w:rPr>
                <w:sz w:val="24"/>
              </w:rPr>
            </w:pPr>
            <w:r>
              <w:rPr>
                <w:sz w:val="24"/>
              </w:rPr>
              <w:t>省三等奖</w:t>
            </w:r>
          </w:p>
        </w:tc>
        <w:tc>
          <w:tcPr>
            <w:tcW w:w="1585" w:type="dxa"/>
          </w:tcPr>
          <w:p>
            <w:pPr>
              <w:pStyle w:val="11"/>
              <w:spacing w:line="289" w:lineRule="exact"/>
              <w:ind w:left="7"/>
              <w:rPr>
                <w:sz w:val="24"/>
              </w:rPr>
            </w:pPr>
            <w:r>
              <w:rPr>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849" w:type="dxa"/>
            <w:vMerge w:val="continue"/>
            <w:tcBorders>
              <w:top w:val="nil"/>
            </w:tcBorders>
          </w:tcPr>
          <w:p>
            <w:pPr>
              <w:rPr>
                <w:sz w:val="2"/>
                <w:szCs w:val="2"/>
              </w:rPr>
            </w:pPr>
          </w:p>
        </w:tc>
        <w:tc>
          <w:tcPr>
            <w:tcW w:w="5515" w:type="dxa"/>
          </w:tcPr>
          <w:p>
            <w:pPr>
              <w:pStyle w:val="11"/>
              <w:spacing w:line="290" w:lineRule="exact"/>
              <w:ind w:right="96"/>
              <w:rPr>
                <w:sz w:val="24"/>
              </w:rPr>
            </w:pPr>
            <w:r>
              <w:rPr>
                <w:sz w:val="24"/>
              </w:rPr>
              <w:t>省级优秀奖</w:t>
            </w:r>
          </w:p>
        </w:tc>
        <w:tc>
          <w:tcPr>
            <w:tcW w:w="1585" w:type="dxa"/>
          </w:tcPr>
          <w:p>
            <w:pPr>
              <w:pStyle w:val="11"/>
              <w:spacing w:line="290" w:lineRule="exact"/>
              <w:ind w:left="7"/>
              <w:rPr>
                <w:sz w:val="24"/>
              </w:rPr>
            </w:pPr>
            <w:r>
              <w:rPr>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849" w:type="dxa"/>
            <w:vMerge w:val="restart"/>
          </w:tcPr>
          <w:p>
            <w:pPr>
              <w:pStyle w:val="11"/>
              <w:spacing w:before="10"/>
              <w:ind w:left="0"/>
              <w:jc w:val="left"/>
              <w:rPr>
                <w:rFonts w:ascii="Microsoft YaHei UI"/>
                <w:b/>
                <w:sz w:val="18"/>
              </w:rPr>
            </w:pPr>
          </w:p>
          <w:p>
            <w:pPr>
              <w:pStyle w:val="11"/>
              <w:spacing w:before="0" w:line="242" w:lineRule="auto"/>
              <w:ind w:left="444" w:right="192" w:hanging="240"/>
              <w:jc w:val="left"/>
              <w:rPr>
                <w:sz w:val="24"/>
              </w:rPr>
            </w:pPr>
            <w:r>
              <w:rPr>
                <w:spacing w:val="-1"/>
                <w:sz w:val="24"/>
              </w:rPr>
              <w:t>教务处认定的</w:t>
            </w:r>
            <w:r>
              <w:rPr>
                <w:sz w:val="24"/>
              </w:rPr>
              <w:t>三类竞赛</w:t>
            </w:r>
          </w:p>
        </w:tc>
        <w:tc>
          <w:tcPr>
            <w:tcW w:w="5515" w:type="dxa"/>
          </w:tcPr>
          <w:p>
            <w:pPr>
              <w:pStyle w:val="11"/>
              <w:spacing w:before="4" w:line="288" w:lineRule="exact"/>
              <w:ind w:right="96"/>
              <w:rPr>
                <w:sz w:val="24"/>
              </w:rPr>
            </w:pPr>
            <w:r>
              <w:rPr>
                <w:sz w:val="24"/>
              </w:rPr>
              <w:t>国家特等奖</w:t>
            </w:r>
          </w:p>
        </w:tc>
        <w:tc>
          <w:tcPr>
            <w:tcW w:w="1585" w:type="dxa"/>
          </w:tcPr>
          <w:p>
            <w:pPr>
              <w:pStyle w:val="11"/>
              <w:spacing w:before="4" w:line="288" w:lineRule="exact"/>
              <w:ind w:left="7"/>
              <w:rPr>
                <w:sz w:val="24"/>
              </w:rPr>
            </w:pPr>
            <w:r>
              <w:rPr>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849" w:type="dxa"/>
            <w:vMerge w:val="continue"/>
            <w:tcBorders>
              <w:top w:val="nil"/>
            </w:tcBorders>
          </w:tcPr>
          <w:p>
            <w:pPr>
              <w:rPr>
                <w:sz w:val="2"/>
                <w:szCs w:val="2"/>
              </w:rPr>
            </w:pPr>
          </w:p>
        </w:tc>
        <w:tc>
          <w:tcPr>
            <w:tcW w:w="5515" w:type="dxa"/>
          </w:tcPr>
          <w:p>
            <w:pPr>
              <w:pStyle w:val="11"/>
              <w:spacing w:before="4" w:line="288" w:lineRule="exact"/>
              <w:ind w:right="96"/>
              <w:rPr>
                <w:sz w:val="24"/>
              </w:rPr>
            </w:pPr>
            <w:r>
              <w:rPr>
                <w:sz w:val="24"/>
              </w:rPr>
              <w:t>国家一等奖</w:t>
            </w:r>
          </w:p>
        </w:tc>
        <w:tc>
          <w:tcPr>
            <w:tcW w:w="1585" w:type="dxa"/>
          </w:tcPr>
          <w:p>
            <w:pPr>
              <w:pStyle w:val="11"/>
              <w:spacing w:before="4" w:line="288" w:lineRule="exact"/>
              <w:ind w:left="7"/>
              <w:rPr>
                <w:sz w:val="24"/>
              </w:rPr>
            </w:pPr>
            <w:r>
              <w:rPr>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849" w:type="dxa"/>
            <w:vMerge w:val="continue"/>
            <w:tcBorders>
              <w:top w:val="nil"/>
            </w:tcBorders>
          </w:tcPr>
          <w:p>
            <w:pPr>
              <w:rPr>
                <w:sz w:val="2"/>
                <w:szCs w:val="2"/>
              </w:rPr>
            </w:pPr>
          </w:p>
        </w:tc>
        <w:tc>
          <w:tcPr>
            <w:tcW w:w="5515" w:type="dxa"/>
          </w:tcPr>
          <w:p>
            <w:pPr>
              <w:pStyle w:val="11"/>
              <w:spacing w:before="3" w:line="289" w:lineRule="exact"/>
              <w:ind w:right="96"/>
              <w:rPr>
                <w:sz w:val="24"/>
              </w:rPr>
            </w:pPr>
            <w:r>
              <w:rPr>
                <w:sz w:val="24"/>
              </w:rPr>
              <w:t>国家二等、省特等奖</w:t>
            </w:r>
          </w:p>
        </w:tc>
        <w:tc>
          <w:tcPr>
            <w:tcW w:w="1585" w:type="dxa"/>
          </w:tcPr>
          <w:p>
            <w:pPr>
              <w:pStyle w:val="11"/>
              <w:spacing w:before="3" w:line="289" w:lineRule="exact"/>
              <w:ind w:left="7"/>
              <w:rPr>
                <w:sz w:val="24"/>
              </w:rPr>
            </w:pPr>
            <w:r>
              <w:rPr>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849" w:type="dxa"/>
            <w:vMerge w:val="continue"/>
            <w:tcBorders>
              <w:top w:val="nil"/>
            </w:tcBorders>
          </w:tcPr>
          <w:p>
            <w:pPr>
              <w:rPr>
                <w:sz w:val="2"/>
                <w:szCs w:val="2"/>
              </w:rPr>
            </w:pPr>
          </w:p>
        </w:tc>
        <w:tc>
          <w:tcPr>
            <w:tcW w:w="5515" w:type="dxa"/>
          </w:tcPr>
          <w:p>
            <w:pPr>
              <w:pStyle w:val="11"/>
              <w:spacing w:before="3" w:line="287" w:lineRule="exact"/>
              <w:ind w:right="96"/>
              <w:rPr>
                <w:sz w:val="24"/>
              </w:rPr>
            </w:pPr>
            <w:r>
              <w:rPr>
                <w:sz w:val="24"/>
              </w:rPr>
              <w:t>国家三等、省一等奖</w:t>
            </w:r>
          </w:p>
        </w:tc>
        <w:tc>
          <w:tcPr>
            <w:tcW w:w="1585" w:type="dxa"/>
          </w:tcPr>
          <w:p>
            <w:pPr>
              <w:pStyle w:val="11"/>
              <w:spacing w:before="3" w:line="287" w:lineRule="exact"/>
              <w:ind w:left="591" w:right="584"/>
              <w:rPr>
                <w:sz w:val="24"/>
              </w:rPr>
            </w:pPr>
            <w:r>
              <w:rPr>
                <w:sz w:val="24"/>
              </w:rPr>
              <w:t>2.5</w:t>
            </w:r>
          </w:p>
        </w:tc>
      </w:tr>
    </w:tbl>
    <w:p>
      <w:pPr>
        <w:spacing w:after="0" w:line="287" w:lineRule="exact"/>
        <w:rPr>
          <w:sz w:val="24"/>
        </w:rPr>
        <w:sectPr>
          <w:pgSz w:w="11910" w:h="16840"/>
          <w:pgMar w:top="1520" w:right="1060" w:bottom="280" w:left="1280" w:header="720" w:footer="720" w:gutter="0"/>
          <w:cols w:space="720" w:num="1"/>
        </w:sectPr>
      </w:pPr>
    </w:p>
    <w:tbl>
      <w:tblPr>
        <w:tblStyle w:val="6"/>
        <w:tblW w:w="0" w:type="auto"/>
        <w:tblInd w:w="2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9"/>
        <w:gridCol w:w="5515"/>
        <w:gridCol w:w="15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849" w:type="dxa"/>
            <w:vMerge w:val="restart"/>
          </w:tcPr>
          <w:p>
            <w:pPr>
              <w:pStyle w:val="11"/>
              <w:spacing w:before="0"/>
              <w:ind w:left="0"/>
              <w:jc w:val="left"/>
              <w:rPr>
                <w:rFonts w:ascii="Times New Roman"/>
                <w:sz w:val="24"/>
              </w:rPr>
            </w:pPr>
          </w:p>
        </w:tc>
        <w:tc>
          <w:tcPr>
            <w:tcW w:w="5515" w:type="dxa"/>
          </w:tcPr>
          <w:p>
            <w:pPr>
              <w:pStyle w:val="11"/>
              <w:spacing w:before="3" w:line="289" w:lineRule="exact"/>
              <w:ind w:right="96"/>
              <w:rPr>
                <w:sz w:val="24"/>
              </w:rPr>
            </w:pPr>
            <w:r>
              <w:rPr>
                <w:sz w:val="24"/>
              </w:rPr>
              <w:t>国家优秀奖、省二等奖</w:t>
            </w:r>
          </w:p>
        </w:tc>
        <w:tc>
          <w:tcPr>
            <w:tcW w:w="1585" w:type="dxa"/>
          </w:tcPr>
          <w:p>
            <w:pPr>
              <w:pStyle w:val="11"/>
              <w:spacing w:before="3" w:line="289" w:lineRule="exact"/>
              <w:ind w:left="7"/>
              <w:rPr>
                <w:sz w:val="24"/>
              </w:rPr>
            </w:pPr>
            <w:r>
              <w:rPr>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849" w:type="dxa"/>
            <w:vMerge w:val="continue"/>
            <w:tcBorders>
              <w:top w:val="nil"/>
            </w:tcBorders>
          </w:tcPr>
          <w:p>
            <w:pPr>
              <w:rPr>
                <w:sz w:val="2"/>
                <w:szCs w:val="2"/>
              </w:rPr>
            </w:pPr>
          </w:p>
        </w:tc>
        <w:tc>
          <w:tcPr>
            <w:tcW w:w="5515" w:type="dxa"/>
          </w:tcPr>
          <w:p>
            <w:pPr>
              <w:pStyle w:val="11"/>
              <w:spacing w:before="3" w:line="289" w:lineRule="exact"/>
              <w:ind w:right="96"/>
              <w:rPr>
                <w:sz w:val="24"/>
              </w:rPr>
            </w:pPr>
            <w:r>
              <w:rPr>
                <w:sz w:val="24"/>
              </w:rPr>
              <w:t>省三等奖、省级优秀奖</w:t>
            </w:r>
          </w:p>
        </w:tc>
        <w:tc>
          <w:tcPr>
            <w:tcW w:w="1585" w:type="dxa"/>
          </w:tcPr>
          <w:p>
            <w:pPr>
              <w:pStyle w:val="11"/>
              <w:spacing w:before="3" w:line="289" w:lineRule="exact"/>
              <w:ind w:left="7"/>
              <w:rPr>
                <w:sz w:val="24"/>
              </w:rPr>
            </w:pPr>
            <w:r>
              <w:rPr>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849" w:type="dxa"/>
            <w:vMerge w:val="restart"/>
          </w:tcPr>
          <w:p>
            <w:pPr>
              <w:pStyle w:val="11"/>
              <w:spacing w:before="168" w:line="242" w:lineRule="auto"/>
              <w:ind w:left="684" w:right="192" w:hanging="480"/>
              <w:jc w:val="left"/>
              <w:rPr>
                <w:sz w:val="24"/>
              </w:rPr>
            </w:pPr>
            <w:r>
              <w:rPr>
                <w:spacing w:val="-1"/>
                <w:sz w:val="24"/>
              </w:rPr>
              <w:t>校级创新创业</w:t>
            </w:r>
            <w:r>
              <w:rPr>
                <w:sz w:val="24"/>
              </w:rPr>
              <w:t>竞赛</w:t>
            </w:r>
          </w:p>
        </w:tc>
        <w:tc>
          <w:tcPr>
            <w:tcW w:w="5515" w:type="dxa"/>
          </w:tcPr>
          <w:p>
            <w:pPr>
              <w:pStyle w:val="11"/>
              <w:spacing w:line="290" w:lineRule="exact"/>
              <w:ind w:right="96"/>
              <w:rPr>
                <w:sz w:val="24"/>
              </w:rPr>
            </w:pPr>
            <w:r>
              <w:rPr>
                <w:sz w:val="24"/>
              </w:rPr>
              <w:t>校一等奖</w:t>
            </w:r>
          </w:p>
        </w:tc>
        <w:tc>
          <w:tcPr>
            <w:tcW w:w="1585" w:type="dxa"/>
          </w:tcPr>
          <w:p>
            <w:pPr>
              <w:pStyle w:val="11"/>
              <w:spacing w:line="290" w:lineRule="exact"/>
              <w:ind w:left="7"/>
              <w:rPr>
                <w:sz w:val="24"/>
              </w:rPr>
            </w:pPr>
            <w:r>
              <w:rPr>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849" w:type="dxa"/>
            <w:vMerge w:val="continue"/>
            <w:tcBorders>
              <w:top w:val="nil"/>
            </w:tcBorders>
          </w:tcPr>
          <w:p>
            <w:pPr>
              <w:rPr>
                <w:sz w:val="2"/>
                <w:szCs w:val="2"/>
              </w:rPr>
            </w:pPr>
          </w:p>
        </w:tc>
        <w:tc>
          <w:tcPr>
            <w:tcW w:w="5515" w:type="dxa"/>
          </w:tcPr>
          <w:p>
            <w:pPr>
              <w:pStyle w:val="11"/>
              <w:spacing w:line="290" w:lineRule="exact"/>
              <w:ind w:right="96"/>
              <w:rPr>
                <w:sz w:val="24"/>
              </w:rPr>
            </w:pPr>
            <w:r>
              <w:rPr>
                <w:sz w:val="24"/>
              </w:rPr>
              <w:t>校二等奖</w:t>
            </w:r>
          </w:p>
        </w:tc>
        <w:tc>
          <w:tcPr>
            <w:tcW w:w="1585" w:type="dxa"/>
          </w:tcPr>
          <w:p>
            <w:pPr>
              <w:pStyle w:val="11"/>
              <w:spacing w:line="290" w:lineRule="exact"/>
              <w:ind w:left="7"/>
              <w:rPr>
                <w:sz w:val="24"/>
              </w:rPr>
            </w:pPr>
            <w:r>
              <w:rPr>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849" w:type="dxa"/>
            <w:vMerge w:val="continue"/>
            <w:tcBorders>
              <w:top w:val="nil"/>
            </w:tcBorders>
          </w:tcPr>
          <w:p>
            <w:pPr>
              <w:rPr>
                <w:sz w:val="2"/>
                <w:szCs w:val="2"/>
              </w:rPr>
            </w:pPr>
          </w:p>
        </w:tc>
        <w:tc>
          <w:tcPr>
            <w:tcW w:w="5515" w:type="dxa"/>
          </w:tcPr>
          <w:p>
            <w:pPr>
              <w:pStyle w:val="11"/>
              <w:spacing w:before="4" w:line="288" w:lineRule="exact"/>
              <w:ind w:right="96"/>
              <w:rPr>
                <w:sz w:val="24"/>
              </w:rPr>
            </w:pPr>
            <w:r>
              <w:rPr>
                <w:sz w:val="24"/>
              </w:rPr>
              <w:t>校三等奖</w:t>
            </w:r>
          </w:p>
        </w:tc>
        <w:tc>
          <w:tcPr>
            <w:tcW w:w="1585" w:type="dxa"/>
          </w:tcPr>
          <w:p>
            <w:pPr>
              <w:pStyle w:val="11"/>
              <w:spacing w:before="4" w:line="288" w:lineRule="exact"/>
              <w:ind w:left="591" w:right="584"/>
              <w:rPr>
                <w:sz w:val="24"/>
              </w:rPr>
            </w:pPr>
            <w:r>
              <w:rPr>
                <w:sz w:val="24"/>
              </w:rPr>
              <w:t>0.5</w:t>
            </w:r>
          </w:p>
        </w:tc>
      </w:tr>
    </w:tbl>
    <w:p>
      <w:pPr>
        <w:spacing w:before="0" w:line="341" w:lineRule="exact"/>
        <w:ind w:left="520" w:right="0" w:firstLine="0"/>
        <w:jc w:val="left"/>
        <w:rPr>
          <w:sz w:val="24"/>
        </w:rPr>
      </w:pPr>
      <w:r>
        <w:rPr>
          <w:sz w:val="24"/>
        </w:rPr>
        <w:t>注：1.</w:t>
      </w:r>
      <w:r>
        <w:rPr>
          <w:rFonts w:hint="eastAsia" w:ascii="Microsoft YaHei UI" w:eastAsia="Microsoft YaHei UI"/>
          <w:b/>
          <w:sz w:val="24"/>
        </w:rPr>
        <w:t>学科竞赛以学校部门当年最新认定文件为标准，</w:t>
      </w:r>
      <w:r>
        <w:rPr>
          <w:sz w:val="24"/>
        </w:rPr>
        <w:t>一类竞赛包括互联网+大学生</w:t>
      </w:r>
    </w:p>
    <w:p>
      <w:pPr>
        <w:spacing w:before="0" w:line="282" w:lineRule="exact"/>
        <w:ind w:left="520" w:right="0" w:firstLine="0"/>
        <w:jc w:val="left"/>
        <w:rPr>
          <w:sz w:val="24"/>
        </w:rPr>
      </w:pPr>
      <w:r>
        <w:rPr>
          <w:spacing w:val="-2"/>
          <w:sz w:val="24"/>
        </w:rPr>
        <w:t>创新创业大赛、挑战杯大学生创业大赛、挑战杯大学生科技作品竞赛、大学生职业生</w:t>
      </w:r>
    </w:p>
    <w:p>
      <w:pPr>
        <w:spacing w:before="4" w:line="242" w:lineRule="auto"/>
        <w:ind w:left="520" w:right="226" w:firstLine="0"/>
        <w:jc w:val="both"/>
        <w:rPr>
          <w:sz w:val="24"/>
        </w:rPr>
      </w:pPr>
      <w:r>
        <w:rPr>
          <w:spacing w:val="-2"/>
          <w:sz w:val="24"/>
        </w:rPr>
        <w:t>涯规划大赛、大学生生命科学竞赛、大学生护理竞赛、大学生医学竞赛、大学生理论知识竞赛、大学生数学建模竞赛、大学生网络与信息安全竞赛等；二类竞赛包括全国</w:t>
      </w:r>
      <w:r>
        <w:rPr>
          <w:sz w:val="24"/>
        </w:rPr>
        <w:t>口译大赛（英语</w:t>
      </w:r>
      <w:r>
        <w:rPr>
          <w:spacing w:val="-120"/>
          <w:sz w:val="24"/>
        </w:rPr>
        <w:t>）</w:t>
      </w:r>
      <w:r>
        <w:rPr>
          <w:sz w:val="24"/>
        </w:rPr>
        <w:t>、中国青年互联网创业大赛、大学生艺术节活动等；三类竞赛包括全国高等医学院校大学生临床技能竞赛（华东分区赛</w:t>
      </w:r>
      <w:r>
        <w:rPr>
          <w:spacing w:val="-120"/>
          <w:sz w:val="24"/>
        </w:rPr>
        <w:t>）</w:t>
      </w:r>
      <w:r>
        <w:rPr>
          <w:sz w:val="24"/>
        </w:rPr>
        <w:t>、全国医药卫生管理专业本科</w:t>
      </w:r>
      <w:r>
        <w:rPr>
          <w:spacing w:val="-6"/>
          <w:sz w:val="24"/>
        </w:rPr>
        <w:t>生毕业论文(设计)竞赛、大学生公共管理案例分析大赛、“</w:t>
      </w:r>
      <w:r>
        <w:rPr>
          <w:sz w:val="24"/>
        </w:rPr>
        <w:t>21</w:t>
      </w:r>
      <w:r>
        <w:rPr>
          <w:spacing w:val="-8"/>
          <w:sz w:val="24"/>
        </w:rPr>
        <w:t xml:space="preserve"> 世纪杯”全国英语演讲</w:t>
      </w:r>
      <w:r>
        <w:rPr>
          <w:sz w:val="24"/>
        </w:rPr>
        <w:t>比赛等；具体以学校最新发布的学科竞赛分类为依据。</w:t>
      </w:r>
    </w:p>
    <w:p>
      <w:pPr>
        <w:spacing w:before="9"/>
        <w:ind w:left="520" w:right="0" w:firstLine="0"/>
        <w:jc w:val="left"/>
        <w:rPr>
          <w:sz w:val="24"/>
        </w:rPr>
      </w:pPr>
      <w:r>
        <w:rPr>
          <w:sz w:val="24"/>
        </w:rPr>
        <w:t>2.学科论文加权系数：</w:t>
      </w:r>
    </w:p>
    <w:p>
      <w:pPr>
        <w:pStyle w:val="10"/>
        <w:numPr>
          <w:ilvl w:val="0"/>
          <w:numId w:val="1"/>
        </w:numPr>
        <w:tabs>
          <w:tab w:val="left" w:pos="1121"/>
        </w:tabs>
        <w:spacing w:before="4" w:after="0" w:line="240" w:lineRule="auto"/>
        <w:ind w:left="1121" w:right="0" w:hanging="601"/>
        <w:jc w:val="left"/>
        <w:rPr>
          <w:sz w:val="24"/>
        </w:rPr>
      </w:pPr>
      <w:r>
        <w:rPr>
          <w:sz w:val="24"/>
        </w:rPr>
        <w:t>ESI</w:t>
      </w:r>
      <w:r>
        <w:rPr>
          <w:spacing w:val="-8"/>
          <w:sz w:val="24"/>
        </w:rPr>
        <w:t xml:space="preserve"> 高被引论文，在原有加分基础上</w:t>
      </w:r>
      <w:r>
        <w:rPr>
          <w:sz w:val="24"/>
        </w:rPr>
        <w:t>×150%</w:t>
      </w:r>
    </w:p>
    <w:p>
      <w:pPr>
        <w:pStyle w:val="10"/>
        <w:numPr>
          <w:ilvl w:val="0"/>
          <w:numId w:val="1"/>
        </w:numPr>
        <w:tabs>
          <w:tab w:val="left" w:pos="1121"/>
        </w:tabs>
        <w:spacing w:before="5" w:after="0" w:line="240" w:lineRule="auto"/>
        <w:ind w:left="1121" w:right="0" w:hanging="601"/>
        <w:jc w:val="left"/>
        <w:rPr>
          <w:sz w:val="24"/>
        </w:rPr>
      </w:pPr>
      <w:r>
        <w:rPr>
          <w:spacing w:val="6"/>
          <w:w w:val="95"/>
          <w:sz w:val="24"/>
        </w:rPr>
        <w:t xml:space="preserve">发表在药理学与药毒学 </w:t>
      </w:r>
      <w:r>
        <w:rPr>
          <w:w w:val="95"/>
          <w:sz w:val="24"/>
        </w:rPr>
        <w:t>ESI</w:t>
      </w:r>
      <w:r>
        <w:rPr>
          <w:spacing w:val="8"/>
          <w:w w:val="95"/>
          <w:sz w:val="24"/>
        </w:rPr>
        <w:t xml:space="preserve"> 期刊上的论文</w:t>
      </w:r>
      <w:r>
        <w:rPr>
          <w:w w:val="95"/>
          <w:sz w:val="24"/>
        </w:rPr>
        <w:t>×150%</w:t>
      </w:r>
    </w:p>
    <w:p>
      <w:pPr>
        <w:pStyle w:val="10"/>
        <w:numPr>
          <w:ilvl w:val="0"/>
          <w:numId w:val="1"/>
        </w:numPr>
        <w:tabs>
          <w:tab w:val="left" w:pos="1121"/>
        </w:tabs>
        <w:spacing w:before="4" w:after="0" w:line="240" w:lineRule="auto"/>
        <w:ind w:left="1121" w:right="0" w:hanging="601"/>
        <w:jc w:val="left"/>
        <w:rPr>
          <w:sz w:val="24"/>
        </w:rPr>
      </w:pPr>
      <w:r>
        <w:rPr>
          <w:spacing w:val="4"/>
          <w:w w:val="95"/>
          <w:sz w:val="24"/>
        </w:rPr>
        <w:t xml:space="preserve">引用杭州师范大学已发表的药理学与药毒学 </w:t>
      </w:r>
      <w:r>
        <w:rPr>
          <w:w w:val="95"/>
          <w:sz w:val="24"/>
        </w:rPr>
        <w:t>ESI 期刊论文，每引用一篇+0.1</w:t>
      </w:r>
      <w:r>
        <w:rPr>
          <w:spacing w:val="28"/>
          <w:w w:val="95"/>
          <w:sz w:val="24"/>
        </w:rPr>
        <w:t xml:space="preserve"> 分。</w:t>
      </w:r>
    </w:p>
    <w:p>
      <w:pPr>
        <w:pStyle w:val="2"/>
        <w:spacing w:before="60"/>
        <w:ind w:left="169"/>
      </w:pPr>
      <w:r>
        <w:t>（2）科研项目加分标准</w:t>
      </w:r>
    </w:p>
    <w:p>
      <w:pPr>
        <w:pStyle w:val="3"/>
        <w:spacing w:before="14"/>
        <w:rPr>
          <w:rFonts w:ascii="Microsoft YaHei UI"/>
          <w:b/>
          <w:sz w:val="3"/>
        </w:rPr>
      </w:pPr>
    </w:p>
    <w:tbl>
      <w:tblPr>
        <w:tblStyle w:val="6"/>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95"/>
        <w:gridCol w:w="965"/>
        <w:gridCol w:w="816"/>
        <w:gridCol w:w="2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695" w:type="dxa"/>
          </w:tcPr>
          <w:p>
            <w:pPr>
              <w:pStyle w:val="11"/>
              <w:spacing w:before="3" w:line="289" w:lineRule="exact"/>
              <w:ind w:left="92" w:right="85"/>
              <w:rPr>
                <w:sz w:val="24"/>
              </w:rPr>
            </w:pPr>
            <w:r>
              <w:rPr>
                <w:sz w:val="24"/>
              </w:rPr>
              <w:t>项目名称</w:t>
            </w:r>
          </w:p>
        </w:tc>
        <w:tc>
          <w:tcPr>
            <w:tcW w:w="965" w:type="dxa"/>
          </w:tcPr>
          <w:p>
            <w:pPr>
              <w:pStyle w:val="11"/>
              <w:spacing w:before="3" w:line="289" w:lineRule="exact"/>
              <w:ind w:left="240"/>
              <w:jc w:val="left"/>
              <w:rPr>
                <w:sz w:val="24"/>
              </w:rPr>
            </w:pPr>
            <w:r>
              <w:rPr>
                <w:sz w:val="24"/>
              </w:rPr>
              <w:t>级别</w:t>
            </w:r>
          </w:p>
        </w:tc>
        <w:tc>
          <w:tcPr>
            <w:tcW w:w="816" w:type="dxa"/>
          </w:tcPr>
          <w:p>
            <w:pPr>
              <w:pStyle w:val="11"/>
              <w:spacing w:before="3" w:line="289" w:lineRule="exact"/>
              <w:ind w:left="168"/>
              <w:jc w:val="left"/>
              <w:rPr>
                <w:sz w:val="24"/>
              </w:rPr>
            </w:pPr>
            <w:r>
              <w:rPr>
                <w:sz w:val="24"/>
              </w:rPr>
              <w:t>加分</w:t>
            </w:r>
          </w:p>
        </w:tc>
        <w:tc>
          <w:tcPr>
            <w:tcW w:w="2629" w:type="dxa"/>
          </w:tcPr>
          <w:p>
            <w:pPr>
              <w:pStyle w:val="11"/>
              <w:spacing w:before="3" w:line="289" w:lineRule="exact"/>
              <w:ind w:left="1053" w:right="1046"/>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695" w:type="dxa"/>
            <w:tcBorders>
              <w:bottom w:val="nil"/>
            </w:tcBorders>
          </w:tcPr>
          <w:p>
            <w:pPr>
              <w:pStyle w:val="11"/>
              <w:spacing w:before="3" w:line="290" w:lineRule="exact"/>
              <w:ind w:left="92" w:right="85"/>
              <w:rPr>
                <w:sz w:val="24"/>
              </w:rPr>
            </w:pPr>
            <w:r>
              <w:rPr>
                <w:sz w:val="24"/>
              </w:rPr>
              <w:t>国家大学生创新创业训练计划项目等等国</w:t>
            </w:r>
          </w:p>
        </w:tc>
        <w:tc>
          <w:tcPr>
            <w:tcW w:w="965" w:type="dxa"/>
            <w:vMerge w:val="restart"/>
          </w:tcPr>
          <w:p>
            <w:pPr>
              <w:pStyle w:val="11"/>
              <w:spacing w:before="158"/>
              <w:ind w:left="120"/>
              <w:jc w:val="left"/>
              <w:rPr>
                <w:sz w:val="24"/>
              </w:rPr>
            </w:pPr>
            <w:r>
              <w:rPr>
                <w:sz w:val="24"/>
              </w:rPr>
              <w:t>国家级</w:t>
            </w:r>
          </w:p>
        </w:tc>
        <w:tc>
          <w:tcPr>
            <w:tcW w:w="816" w:type="dxa"/>
            <w:vMerge w:val="restart"/>
          </w:tcPr>
          <w:p>
            <w:pPr>
              <w:pStyle w:val="11"/>
              <w:spacing w:before="158"/>
              <w:ind w:left="11"/>
              <w:rPr>
                <w:sz w:val="24"/>
              </w:rPr>
            </w:pPr>
            <w:r>
              <w:rPr>
                <w:sz w:val="24"/>
              </w:rPr>
              <w:t>3</w:t>
            </w:r>
          </w:p>
        </w:tc>
        <w:tc>
          <w:tcPr>
            <w:tcW w:w="2629" w:type="dxa"/>
            <w:tcBorders>
              <w:bottom w:val="nil"/>
            </w:tcBorders>
          </w:tcPr>
          <w:p>
            <w:pPr>
              <w:pStyle w:val="11"/>
              <w:spacing w:before="12" w:line="280" w:lineRule="exact"/>
              <w:ind w:left="108"/>
              <w:jc w:val="left"/>
              <w:rPr>
                <w:sz w:val="24"/>
              </w:rPr>
            </w:pPr>
            <w:r>
              <w:rPr>
                <w:w w:val="95"/>
                <w:sz w:val="24"/>
              </w:rPr>
              <w:t>1. 已结题科研项目方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4695" w:type="dxa"/>
            <w:tcBorders>
              <w:top w:val="nil"/>
            </w:tcBorders>
          </w:tcPr>
          <w:p>
            <w:pPr>
              <w:pStyle w:val="11"/>
              <w:spacing w:before="0" w:line="282" w:lineRule="exact"/>
              <w:ind w:left="92" w:right="85"/>
              <w:rPr>
                <w:sz w:val="24"/>
              </w:rPr>
            </w:pPr>
            <w:r>
              <w:rPr>
                <w:sz w:val="24"/>
              </w:rPr>
              <w:t>家级科研项目</w:t>
            </w:r>
          </w:p>
        </w:tc>
        <w:tc>
          <w:tcPr>
            <w:tcW w:w="965" w:type="dxa"/>
            <w:vMerge w:val="continue"/>
            <w:tcBorders>
              <w:top w:val="nil"/>
            </w:tcBorders>
          </w:tcPr>
          <w:p>
            <w:pPr>
              <w:rPr>
                <w:sz w:val="2"/>
                <w:szCs w:val="2"/>
              </w:rPr>
            </w:pPr>
          </w:p>
        </w:tc>
        <w:tc>
          <w:tcPr>
            <w:tcW w:w="816" w:type="dxa"/>
            <w:vMerge w:val="continue"/>
            <w:tcBorders>
              <w:top w:val="nil"/>
            </w:tcBorders>
          </w:tcPr>
          <w:p>
            <w:pPr>
              <w:rPr>
                <w:sz w:val="2"/>
                <w:szCs w:val="2"/>
              </w:rPr>
            </w:pPr>
          </w:p>
        </w:tc>
        <w:tc>
          <w:tcPr>
            <w:tcW w:w="2629" w:type="dxa"/>
            <w:tcBorders>
              <w:top w:val="nil"/>
              <w:bottom w:val="nil"/>
            </w:tcBorders>
          </w:tcPr>
          <w:p>
            <w:pPr>
              <w:pStyle w:val="11"/>
              <w:spacing w:line="280" w:lineRule="exact"/>
              <w:ind w:left="108"/>
              <w:jc w:val="left"/>
              <w:rPr>
                <w:sz w:val="24"/>
              </w:rPr>
            </w:pPr>
            <w:r>
              <w:rPr>
                <w:sz w:val="24"/>
              </w:rPr>
              <w:t>可加分。2.学生为第一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4695" w:type="dxa"/>
            <w:tcBorders>
              <w:bottom w:val="nil"/>
            </w:tcBorders>
          </w:tcPr>
          <w:p>
            <w:pPr>
              <w:pStyle w:val="11"/>
              <w:spacing w:line="285" w:lineRule="exact"/>
              <w:ind w:left="92" w:right="85"/>
              <w:rPr>
                <w:sz w:val="24"/>
              </w:rPr>
            </w:pPr>
            <w:r>
              <w:rPr>
                <w:sz w:val="24"/>
              </w:rPr>
              <w:t>浙江省大学生科技创新活动计划暨新苗人</w:t>
            </w:r>
          </w:p>
        </w:tc>
        <w:tc>
          <w:tcPr>
            <w:tcW w:w="965" w:type="dxa"/>
            <w:vMerge w:val="restart"/>
          </w:tcPr>
          <w:p>
            <w:pPr>
              <w:pStyle w:val="11"/>
              <w:spacing w:before="158"/>
              <w:ind w:left="120"/>
              <w:jc w:val="left"/>
              <w:rPr>
                <w:sz w:val="24"/>
              </w:rPr>
            </w:pPr>
            <w:r>
              <w:rPr>
                <w:sz w:val="24"/>
              </w:rPr>
              <w:t>省市级</w:t>
            </w:r>
          </w:p>
        </w:tc>
        <w:tc>
          <w:tcPr>
            <w:tcW w:w="816" w:type="dxa"/>
            <w:vMerge w:val="restart"/>
          </w:tcPr>
          <w:p>
            <w:pPr>
              <w:pStyle w:val="11"/>
              <w:spacing w:before="158"/>
              <w:ind w:left="11"/>
              <w:rPr>
                <w:sz w:val="24"/>
              </w:rPr>
            </w:pPr>
            <w:r>
              <w:rPr>
                <w:sz w:val="24"/>
              </w:rPr>
              <w:t>1</w:t>
            </w:r>
          </w:p>
        </w:tc>
        <w:tc>
          <w:tcPr>
            <w:tcW w:w="2629" w:type="dxa"/>
            <w:tcBorders>
              <w:top w:val="nil"/>
              <w:bottom w:val="nil"/>
            </w:tcBorders>
          </w:tcPr>
          <w:p>
            <w:pPr>
              <w:pStyle w:val="11"/>
              <w:spacing w:line="285" w:lineRule="exact"/>
              <w:ind w:left="108"/>
              <w:jc w:val="left"/>
              <w:rPr>
                <w:sz w:val="24"/>
              </w:rPr>
            </w:pPr>
            <w:r>
              <w:rPr>
                <w:sz w:val="24"/>
              </w:rPr>
              <w:t>负责人获得其他省级以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4695" w:type="dxa"/>
            <w:tcBorders>
              <w:top w:val="nil"/>
            </w:tcBorders>
          </w:tcPr>
          <w:p>
            <w:pPr>
              <w:pStyle w:val="11"/>
              <w:spacing w:before="0" w:line="287" w:lineRule="exact"/>
              <w:ind w:left="92" w:right="85"/>
              <w:rPr>
                <w:sz w:val="24"/>
              </w:rPr>
            </w:pPr>
            <w:r>
              <w:rPr>
                <w:sz w:val="24"/>
              </w:rPr>
              <w:t>才计划等省市级科研项目</w:t>
            </w:r>
          </w:p>
        </w:tc>
        <w:tc>
          <w:tcPr>
            <w:tcW w:w="965" w:type="dxa"/>
            <w:vMerge w:val="continue"/>
            <w:tcBorders>
              <w:top w:val="nil"/>
            </w:tcBorders>
          </w:tcPr>
          <w:p>
            <w:pPr>
              <w:rPr>
                <w:sz w:val="2"/>
                <w:szCs w:val="2"/>
              </w:rPr>
            </w:pPr>
          </w:p>
        </w:tc>
        <w:tc>
          <w:tcPr>
            <w:tcW w:w="816" w:type="dxa"/>
            <w:vMerge w:val="continue"/>
            <w:tcBorders>
              <w:top w:val="nil"/>
            </w:tcBorders>
          </w:tcPr>
          <w:p>
            <w:pPr>
              <w:rPr>
                <w:sz w:val="2"/>
                <w:szCs w:val="2"/>
              </w:rPr>
            </w:pPr>
          </w:p>
        </w:tc>
        <w:tc>
          <w:tcPr>
            <w:tcW w:w="2629" w:type="dxa"/>
            <w:tcBorders>
              <w:top w:val="nil"/>
              <w:bottom w:val="nil"/>
            </w:tcBorders>
          </w:tcPr>
          <w:p>
            <w:pPr>
              <w:pStyle w:val="11"/>
              <w:spacing w:before="0" w:line="287" w:lineRule="exact"/>
              <w:ind w:left="108"/>
              <w:jc w:val="left"/>
              <w:rPr>
                <w:sz w:val="24"/>
              </w:rPr>
            </w:pPr>
            <w:r>
              <w:rPr>
                <w:sz w:val="24"/>
              </w:rPr>
              <w:t>上科研项目立项的，经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4695" w:type="dxa"/>
            <w:tcBorders>
              <w:bottom w:val="nil"/>
            </w:tcBorders>
          </w:tcPr>
          <w:p>
            <w:pPr>
              <w:pStyle w:val="11"/>
              <w:spacing w:line="280" w:lineRule="exact"/>
              <w:ind w:left="94" w:right="85"/>
              <w:rPr>
                <w:sz w:val="24"/>
              </w:rPr>
            </w:pPr>
            <w:r>
              <w:rPr>
                <w:spacing w:val="-5"/>
                <w:sz w:val="24"/>
              </w:rPr>
              <w:t>本科生创新能力提升工程、星光计划、研究</w:t>
            </w:r>
          </w:p>
        </w:tc>
        <w:tc>
          <w:tcPr>
            <w:tcW w:w="965" w:type="dxa"/>
            <w:vMerge w:val="restart"/>
          </w:tcPr>
          <w:p>
            <w:pPr>
              <w:pStyle w:val="11"/>
              <w:spacing w:before="158"/>
              <w:ind w:left="240"/>
              <w:jc w:val="left"/>
              <w:rPr>
                <w:sz w:val="24"/>
              </w:rPr>
            </w:pPr>
            <w:r>
              <w:rPr>
                <w:sz w:val="24"/>
              </w:rPr>
              <w:t>校级</w:t>
            </w:r>
          </w:p>
        </w:tc>
        <w:tc>
          <w:tcPr>
            <w:tcW w:w="816" w:type="dxa"/>
            <w:vMerge w:val="restart"/>
          </w:tcPr>
          <w:p>
            <w:pPr>
              <w:pStyle w:val="11"/>
              <w:spacing w:before="158"/>
              <w:ind w:left="228"/>
              <w:jc w:val="left"/>
              <w:rPr>
                <w:sz w:val="24"/>
              </w:rPr>
            </w:pPr>
            <w:r>
              <w:rPr>
                <w:sz w:val="24"/>
              </w:rPr>
              <w:t>0.5</w:t>
            </w:r>
          </w:p>
        </w:tc>
        <w:tc>
          <w:tcPr>
            <w:tcW w:w="2629" w:type="dxa"/>
            <w:tcBorders>
              <w:top w:val="nil"/>
              <w:bottom w:val="nil"/>
            </w:tcBorders>
          </w:tcPr>
          <w:p>
            <w:pPr>
              <w:pStyle w:val="11"/>
              <w:spacing w:before="0" w:line="282" w:lineRule="exact"/>
              <w:ind w:left="108"/>
              <w:jc w:val="left"/>
              <w:rPr>
                <w:sz w:val="24"/>
              </w:rPr>
            </w:pPr>
            <w:r>
              <w:rPr>
                <w:sz w:val="24"/>
              </w:rPr>
              <w:t>学院评奖工作领导小组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695" w:type="dxa"/>
            <w:tcBorders>
              <w:top w:val="nil"/>
            </w:tcBorders>
          </w:tcPr>
          <w:p>
            <w:pPr>
              <w:pStyle w:val="11"/>
              <w:spacing w:line="290" w:lineRule="exact"/>
              <w:ind w:left="92" w:right="85"/>
              <w:rPr>
                <w:sz w:val="24"/>
              </w:rPr>
            </w:pPr>
            <w:r>
              <w:rPr>
                <w:sz w:val="24"/>
              </w:rPr>
              <w:t>生科研创新推进项目等校级科研项目</w:t>
            </w:r>
          </w:p>
        </w:tc>
        <w:tc>
          <w:tcPr>
            <w:tcW w:w="965" w:type="dxa"/>
            <w:vMerge w:val="continue"/>
            <w:tcBorders>
              <w:top w:val="nil"/>
            </w:tcBorders>
          </w:tcPr>
          <w:p>
            <w:pPr>
              <w:rPr>
                <w:sz w:val="2"/>
                <w:szCs w:val="2"/>
              </w:rPr>
            </w:pPr>
          </w:p>
        </w:tc>
        <w:tc>
          <w:tcPr>
            <w:tcW w:w="816" w:type="dxa"/>
            <w:vMerge w:val="continue"/>
            <w:tcBorders>
              <w:top w:val="nil"/>
            </w:tcBorders>
          </w:tcPr>
          <w:p>
            <w:pPr>
              <w:rPr>
                <w:sz w:val="2"/>
                <w:szCs w:val="2"/>
              </w:rPr>
            </w:pPr>
          </w:p>
        </w:tc>
        <w:tc>
          <w:tcPr>
            <w:tcW w:w="2629" w:type="dxa"/>
            <w:tcBorders>
              <w:top w:val="nil"/>
            </w:tcBorders>
          </w:tcPr>
          <w:p>
            <w:pPr>
              <w:pStyle w:val="11"/>
              <w:spacing w:before="0" w:line="292" w:lineRule="exact"/>
              <w:ind w:left="108"/>
              <w:jc w:val="left"/>
              <w:rPr>
                <w:sz w:val="24"/>
              </w:rPr>
            </w:pPr>
            <w:r>
              <w:rPr>
                <w:sz w:val="24"/>
              </w:rPr>
              <w:t>认定后加分。</w:t>
            </w:r>
          </w:p>
        </w:tc>
      </w:tr>
    </w:tbl>
    <w:p>
      <w:pPr>
        <w:spacing w:before="23" w:line="220" w:lineRule="auto"/>
        <w:ind w:left="520" w:right="106" w:firstLine="0"/>
        <w:jc w:val="left"/>
        <w:rPr>
          <w:rFonts w:hint="eastAsia" w:ascii="Microsoft YaHei UI" w:eastAsia="Microsoft YaHei UI"/>
          <w:b/>
          <w:sz w:val="24"/>
        </w:rPr>
      </w:pPr>
      <w:r>
        <w:rPr>
          <w:sz w:val="24"/>
        </w:rPr>
        <w:t>注：学术论文、学科竞赛、科研项目、专利等为多人合作完成时，加分标准为：第一</w:t>
      </w:r>
      <w:r>
        <w:rPr>
          <w:spacing w:val="-6"/>
          <w:sz w:val="24"/>
        </w:rPr>
        <w:t xml:space="preserve">作者/第一负责人按 </w:t>
      </w:r>
      <w:r>
        <w:rPr>
          <w:sz w:val="24"/>
        </w:rPr>
        <w:t>100%得分，作为参与者（共一也是作为参与者</w:t>
      </w:r>
      <w:r>
        <w:rPr>
          <w:spacing w:val="-120"/>
          <w:sz w:val="24"/>
        </w:rPr>
        <w:t>）</w:t>
      </w:r>
      <w:r>
        <w:rPr>
          <w:spacing w:val="-10"/>
          <w:sz w:val="24"/>
        </w:rPr>
        <w:t xml:space="preserve">：排名在前 </w:t>
      </w:r>
      <w:r>
        <w:rPr>
          <w:sz w:val="24"/>
        </w:rPr>
        <w:t>3</w:t>
      </w:r>
      <w:r>
        <w:rPr>
          <w:spacing w:val="-30"/>
          <w:sz w:val="24"/>
        </w:rPr>
        <w:t xml:space="preserve"> 位</w:t>
      </w:r>
      <w:r>
        <w:rPr>
          <w:sz w:val="24"/>
        </w:rPr>
        <w:t xml:space="preserve"> </w:t>
      </w:r>
      <w:r>
        <w:rPr>
          <w:spacing w:val="-31"/>
          <w:sz w:val="24"/>
        </w:rPr>
        <w:t xml:space="preserve">按 </w:t>
      </w:r>
      <w:r>
        <w:rPr>
          <w:spacing w:val="-1"/>
          <w:sz w:val="24"/>
        </w:rPr>
        <w:t>40%</w:t>
      </w:r>
      <w:r>
        <w:rPr>
          <w:spacing w:val="-20"/>
          <w:sz w:val="24"/>
        </w:rPr>
        <w:t xml:space="preserve">得分，排名第 </w:t>
      </w:r>
      <w:r>
        <w:rPr>
          <w:sz w:val="24"/>
        </w:rPr>
        <w:t>4</w:t>
      </w:r>
      <w:r>
        <w:rPr>
          <w:spacing w:val="-18"/>
          <w:sz w:val="24"/>
        </w:rPr>
        <w:t xml:space="preserve"> 位及以后按 </w:t>
      </w:r>
      <w:r>
        <w:rPr>
          <w:sz w:val="24"/>
        </w:rPr>
        <w:t>10%得分</w:t>
      </w:r>
      <w:r>
        <w:rPr>
          <w:spacing w:val="-185"/>
          <w:sz w:val="24"/>
        </w:rPr>
        <w:t>。</w:t>
      </w:r>
      <w:r>
        <w:rPr>
          <w:rFonts w:hint="eastAsia" w:ascii="Microsoft YaHei UI" w:eastAsia="Microsoft YaHei UI"/>
          <w:b/>
          <w:sz w:val="24"/>
        </w:rPr>
        <w:t>（</w:t>
      </w:r>
      <w:r>
        <w:rPr>
          <w:rFonts w:hint="eastAsia" w:ascii="Microsoft YaHei UI" w:eastAsia="Microsoft YaHei UI"/>
          <w:b/>
          <w:spacing w:val="-7"/>
          <w:sz w:val="24"/>
        </w:rPr>
        <w:t>该排序去除研究生后，只看本科生顺序</w:t>
      </w:r>
      <w:r>
        <w:rPr>
          <w:rFonts w:hint="eastAsia" w:ascii="Microsoft YaHei UI" w:eastAsia="Microsoft YaHei UI"/>
          <w:b/>
          <w:sz w:val="24"/>
        </w:rPr>
        <w:t>）</w:t>
      </w:r>
    </w:p>
    <w:p>
      <w:pPr>
        <w:keepNext w:val="0"/>
        <w:keepLines w:val="0"/>
        <w:pageBreakBefore w:val="0"/>
        <w:kinsoku/>
        <w:wordWrap/>
        <w:overflowPunct/>
        <w:topLinePunct w:val="0"/>
        <w:autoSpaceDE w:val="0"/>
        <w:autoSpaceDN w:val="0"/>
        <w:bidi w:val="0"/>
        <w:adjustRightInd w:val="0"/>
        <w:snapToGrid/>
        <w:spacing w:before="0" w:after="0" w:line="360" w:lineRule="auto"/>
        <w:ind w:left="0" w:leftChars="0" w:right="0" w:rightChars="0" w:firstLine="0" w:firstLineChars="0"/>
        <w:jc w:val="both"/>
        <w:textAlignment w:val="auto"/>
        <w:rPr>
          <w:rFonts w:hint="eastAsia" w:ascii="宋体" w:hAnsi="宋体" w:eastAsia="宋体" w:cs="宋体"/>
          <w:sz w:val="22"/>
          <w:szCs w:val="22"/>
          <w:lang w:val="en-US" w:eastAsia="zh-CN"/>
        </w:rPr>
      </w:pPr>
    </w:p>
    <w:sectPr>
      <w:pgSz w:w="11910" w:h="16840"/>
      <w:pgMar w:top="1440" w:right="1080" w:bottom="1440" w:left="10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1121" w:hanging="60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964" w:hanging="601"/>
      </w:pPr>
      <w:rPr>
        <w:rFonts w:hint="default"/>
        <w:lang w:val="en-US" w:eastAsia="zh-CN" w:bidi="ar-SA"/>
      </w:rPr>
    </w:lvl>
    <w:lvl w:ilvl="2" w:tentative="0">
      <w:start w:val="0"/>
      <w:numFmt w:val="bullet"/>
      <w:lvlText w:val="•"/>
      <w:lvlJc w:val="left"/>
      <w:pPr>
        <w:ind w:left="2809" w:hanging="601"/>
      </w:pPr>
      <w:rPr>
        <w:rFonts w:hint="default"/>
        <w:lang w:val="en-US" w:eastAsia="zh-CN" w:bidi="ar-SA"/>
      </w:rPr>
    </w:lvl>
    <w:lvl w:ilvl="3" w:tentative="0">
      <w:start w:val="0"/>
      <w:numFmt w:val="bullet"/>
      <w:lvlText w:val="•"/>
      <w:lvlJc w:val="left"/>
      <w:pPr>
        <w:ind w:left="3653" w:hanging="601"/>
      </w:pPr>
      <w:rPr>
        <w:rFonts w:hint="default"/>
        <w:lang w:val="en-US" w:eastAsia="zh-CN" w:bidi="ar-SA"/>
      </w:rPr>
    </w:lvl>
    <w:lvl w:ilvl="4" w:tentative="0">
      <w:start w:val="0"/>
      <w:numFmt w:val="bullet"/>
      <w:lvlText w:val="•"/>
      <w:lvlJc w:val="left"/>
      <w:pPr>
        <w:ind w:left="4498" w:hanging="601"/>
      </w:pPr>
      <w:rPr>
        <w:rFonts w:hint="default"/>
        <w:lang w:val="en-US" w:eastAsia="zh-CN" w:bidi="ar-SA"/>
      </w:rPr>
    </w:lvl>
    <w:lvl w:ilvl="5" w:tentative="0">
      <w:start w:val="0"/>
      <w:numFmt w:val="bullet"/>
      <w:lvlText w:val="•"/>
      <w:lvlJc w:val="left"/>
      <w:pPr>
        <w:ind w:left="5343" w:hanging="601"/>
      </w:pPr>
      <w:rPr>
        <w:rFonts w:hint="default"/>
        <w:lang w:val="en-US" w:eastAsia="zh-CN" w:bidi="ar-SA"/>
      </w:rPr>
    </w:lvl>
    <w:lvl w:ilvl="6" w:tentative="0">
      <w:start w:val="0"/>
      <w:numFmt w:val="bullet"/>
      <w:lvlText w:val="•"/>
      <w:lvlJc w:val="left"/>
      <w:pPr>
        <w:ind w:left="6187" w:hanging="601"/>
      </w:pPr>
      <w:rPr>
        <w:rFonts w:hint="default"/>
        <w:lang w:val="en-US" w:eastAsia="zh-CN" w:bidi="ar-SA"/>
      </w:rPr>
    </w:lvl>
    <w:lvl w:ilvl="7" w:tentative="0">
      <w:start w:val="0"/>
      <w:numFmt w:val="bullet"/>
      <w:lvlText w:val="•"/>
      <w:lvlJc w:val="left"/>
      <w:pPr>
        <w:ind w:left="7032" w:hanging="601"/>
      </w:pPr>
      <w:rPr>
        <w:rFonts w:hint="default"/>
        <w:lang w:val="en-US" w:eastAsia="zh-CN" w:bidi="ar-SA"/>
      </w:rPr>
    </w:lvl>
    <w:lvl w:ilvl="8" w:tentative="0">
      <w:start w:val="0"/>
      <w:numFmt w:val="bullet"/>
      <w:lvlText w:val="•"/>
      <w:lvlJc w:val="left"/>
      <w:pPr>
        <w:ind w:left="7876" w:hanging="601"/>
      </w:pPr>
      <w:rPr>
        <w:rFonts w:hint="default"/>
        <w:lang w:val="en-US" w:eastAsia="zh-CN"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cwODA5OTlkYzZlMzZlMGNlMjVmZTJlYWU2ODViNDEifQ=="/>
  </w:docVars>
  <w:rsids>
    <w:rsidRoot w:val="00000000"/>
    <w:rsid w:val="09D00A74"/>
    <w:rsid w:val="22141DE5"/>
    <w:rsid w:val="2B947F84"/>
    <w:rsid w:val="5A3D1F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qFormat/>
    <w:uiPriority w:val="1"/>
    <w:pPr>
      <w:ind w:left="750"/>
      <w:outlineLvl w:val="1"/>
    </w:pPr>
    <w:rPr>
      <w:rFonts w:ascii="Microsoft YaHei UI" w:hAnsi="Microsoft YaHei UI" w:eastAsia="Microsoft YaHei UI" w:cs="Microsoft YaHei UI"/>
      <w:b/>
      <w:bCs/>
      <w:sz w:val="32"/>
      <w:szCs w:val="32"/>
      <w:lang w:val="en-US" w:eastAsia="zh-CN" w:bidi="ar-SA"/>
    </w:rPr>
  </w:style>
  <w:style w:type="character" w:default="1" w:styleId="8">
    <w:name w:val="Default Paragraph Font"/>
    <w:semiHidden/>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en-US" w:eastAsia="zh-CN" w:bidi="ar-SA"/>
    </w:rPr>
  </w:style>
  <w:style w:type="paragraph" w:styleId="4">
    <w:name w:val="Normal (Web)"/>
    <w:basedOn w:val="1"/>
    <w:uiPriority w:val="0"/>
    <w:pPr>
      <w:spacing w:before="75" w:after="75"/>
      <w:jc w:val="left"/>
    </w:pPr>
    <w:rPr>
      <w:rFonts w:cs="Times New Roman"/>
      <w:kern w:val="0"/>
      <w:sz w:val="24"/>
    </w:rPr>
  </w:style>
  <w:style w:type="paragraph" w:styleId="5">
    <w:name w:val="Title"/>
    <w:basedOn w:val="1"/>
    <w:qFormat/>
    <w:uiPriority w:val="1"/>
    <w:pPr>
      <w:spacing w:line="702" w:lineRule="exact"/>
      <w:ind w:left="1650" w:right="1310"/>
      <w:jc w:val="center"/>
    </w:pPr>
    <w:rPr>
      <w:rFonts w:ascii="Microsoft YaHei UI" w:hAnsi="Microsoft YaHei UI" w:eastAsia="Microsoft YaHei UI" w:cs="Microsoft YaHei UI"/>
      <w:b/>
      <w:bCs/>
      <w:sz w:val="44"/>
      <w:szCs w:val="44"/>
      <w:lang w:val="en-US" w:eastAsia="zh-CN" w:bidi="ar-SA"/>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106" w:firstLine="640"/>
    </w:pPr>
    <w:rPr>
      <w:rFonts w:ascii="宋体" w:hAnsi="宋体" w:eastAsia="宋体" w:cs="宋体"/>
      <w:lang w:val="en-US" w:eastAsia="zh-CN" w:bidi="ar-SA"/>
    </w:rPr>
  </w:style>
  <w:style w:type="paragraph" w:customStyle="1" w:styleId="11">
    <w:name w:val="Table Paragraph"/>
    <w:basedOn w:val="1"/>
    <w:qFormat/>
    <w:uiPriority w:val="1"/>
    <w:pPr>
      <w:spacing w:before="128"/>
      <w:ind w:left="10"/>
      <w:jc w:val="center"/>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2022-10-18T08:54:00Z</dcterms:created>
  <dc:creator>dai lihua</dc:creator>
  <cp:lastModifiedBy>吕倩蕾</cp:lastModifiedBy>
  <dcterms:modified xsi:type="dcterms:W3CDTF">2023-10-16T07:24:14Z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2022-10-14T00:00:00Z</vt:filetime>
  </property>
  <property fmtid="{D5CDD505-2E9C-101B-9397-08002B2CF9AE}" pid="3" name="Creator">
    <vt:lpwstr>Microsoft® Word 2021</vt:lpwstr>
  </property>
  <property fmtid="{D5CDD505-2E9C-101B-9397-08002B2CF9AE}" pid="4" name="LastSaved">
    <vt:filetime>2022-10-18T00:00:00Z</vt:filetime>
  </property>
  <property fmtid="{D5CDD505-2E9C-101B-9397-08002B2CF9AE}" pid="5" name="KSOProductBuildVer">
    <vt:lpwstr>2052-12.1.0.15712</vt:lpwstr>
  </property>
  <property fmtid="{D5CDD505-2E9C-101B-9397-08002B2CF9AE}" pid="6" name="ICV">
    <vt:lpwstr>70A7143AECEF4AB68A352CCAAF4B69A7</vt:lpwstr>
  </property>
</Properties>
</file>