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outlineLvl w:val="0"/>
        <w:rPr>
          <w:rFonts w:ascii="黑体" w:hAnsi="黑体" w:eastAsia="黑体" w:cs="黑体"/>
          <w:b/>
          <w:color w:val="auto"/>
          <w:kern w:val="2"/>
          <w:sz w:val="36"/>
          <w:szCs w:val="36"/>
        </w:rPr>
      </w:pPr>
      <w:r>
        <w:rPr>
          <w:rFonts w:hint="default" w:ascii="黑体" w:hAnsi="黑体" w:eastAsia="黑体" w:cs="黑体"/>
          <w:b/>
          <w:color w:val="auto"/>
          <w:kern w:val="2"/>
          <w:sz w:val="36"/>
          <w:szCs w:val="36"/>
        </w:rPr>
        <w:t>药学院</w:t>
      </w:r>
      <w:r>
        <w:rPr>
          <w:rFonts w:hint="eastAsia" w:ascii="黑体" w:hAnsi="黑体" w:eastAsia="黑体" w:cs="黑体"/>
          <w:b/>
          <w:color w:val="auto"/>
          <w:kern w:val="2"/>
          <w:sz w:val="36"/>
          <w:szCs w:val="36"/>
        </w:rPr>
        <w:t>教师课外育人工作考核办法实施细则</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为进一步贯彻落实全国、全省高校思想政治工作会议精神，强化教师在育人工作中的职责和任务，形成“全员育人、全过程育人、全方位育人”的工作格局，现结合</w:t>
      </w:r>
      <w:r>
        <w:rPr>
          <w:rFonts w:hint="eastAsia" w:ascii="仿宋_GB2312" w:hAnsi="仿宋_GB2312" w:eastAsia="仿宋_GB2312" w:cs="仿宋_GB2312"/>
          <w:color w:val="000000"/>
          <w:sz w:val="32"/>
          <w:szCs w:val="32"/>
          <w:lang w:bidi="ar"/>
        </w:rPr>
        <w:t>《杭州师范大学教师课外育人工作考核办法（试行）》及</w:t>
      </w:r>
      <w:r>
        <w:rPr>
          <w:rFonts w:ascii="仿宋_GB2312" w:hAnsi="仿宋_GB2312" w:eastAsia="仿宋_GB2312" w:cs="仿宋_GB2312"/>
          <w:color w:val="000000"/>
          <w:sz w:val="32"/>
          <w:szCs w:val="32"/>
          <w:lang w:bidi="ar"/>
        </w:rPr>
        <w:t>学院工作实际，特制定本办法。</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一、考核对象</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default" w:ascii="仿宋_GB2312" w:hAnsi="仿宋_GB2312" w:eastAsia="仿宋_GB2312" w:cs="仿宋_GB2312"/>
          <w:color w:val="000000"/>
          <w:sz w:val="32"/>
          <w:szCs w:val="32"/>
          <w:lang w:bidi="ar"/>
        </w:rPr>
        <w:t>药学院</w:t>
      </w:r>
      <w:r>
        <w:rPr>
          <w:rFonts w:ascii="仿宋_GB2312" w:hAnsi="仿宋_GB2312" w:eastAsia="仿宋_GB2312" w:cs="仿宋_GB2312"/>
          <w:color w:val="000000"/>
          <w:sz w:val="32"/>
          <w:szCs w:val="32"/>
          <w:lang w:bidi="ar"/>
        </w:rPr>
        <w:t>在编在岗的全体专任教师、一线专职辅导员和科研人员。</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二、考核内容</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本办法所指的课外育人工作是为了实现育人目标，教师在第一课堂课程育人外，承担一定形式的工作，对全日制学生进行的教育教学活动。内容包括：</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（一）学生班主任；</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（二）兼职辅导员；</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（三）本科学生综合导师；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（四）研究生导师；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（五）学生党支部书记；</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（六）学生社团指导教师；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（七）学生社会实践活动指导教师；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highlight w:val="yellow"/>
          <w:lang w:bidi="ar"/>
        </w:rPr>
      </w:pPr>
      <w:r>
        <w:rPr>
          <w:rFonts w:ascii="仿宋_GB2312" w:hAnsi="仿宋_GB2312" w:eastAsia="仿宋_GB2312" w:cs="仿宋_GB2312"/>
          <w:color w:val="000000"/>
          <w:sz w:val="32"/>
          <w:szCs w:val="32"/>
          <w:highlight w:val="yellow"/>
          <w:lang w:bidi="ar"/>
        </w:rPr>
        <w:t>（八）学生竞赛活动指导教师；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highlight w:val="yellow"/>
          <w:lang w:bidi="ar"/>
        </w:rPr>
      </w:pPr>
      <w:r>
        <w:rPr>
          <w:rFonts w:ascii="仿宋_GB2312" w:hAnsi="仿宋_GB2312" w:eastAsia="仿宋_GB2312" w:cs="仿宋_GB2312"/>
          <w:color w:val="000000"/>
          <w:sz w:val="32"/>
          <w:szCs w:val="32"/>
          <w:highlight w:val="yellow"/>
          <w:lang w:bidi="ar"/>
        </w:rPr>
        <w:t>（九）学生创新创业活动指导教师；</w:t>
      </w:r>
      <w:bookmarkStart w:id="0" w:name="_GoBack"/>
      <w:bookmarkEnd w:id="0"/>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（十）党、团校培训或思政教育专题报告、沙龙等的主讲教师；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（十一）学生非教学活动的评审或指导工作；</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（十二）学院根据实际需要设定的其他育人工作。</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三、等级设定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教师课外育人工作考核结果分优秀、合格、不合格三个等级，一线专职辅导员按比例单列考核。</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（一）优秀：年度考核育人工作量满 30分，指导学生获突出成绩，学生反响好。比例不超过考核总人数的 20%。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（二）合格：年度考核育人工作量满10 分，工作认真负责。承担公共课程或没有本科学生的学院（部）可根据实际情况适当减轻工作量要求。</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（三）不合格：年度考核育人工作量未满 10分，或在育人工作中有不当言行，产生恶劣影响的。</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四、结果使用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结果纳入教师年度工作考核，并作为教师专业技术职务晋升和评奖评优的基本依据之一。申请专业技术职务晋升的教师，任现职以来育人工作考核至少有一次优秀；三年内育人工作考核有不合格的教师，原则上在职称晋升和评奖评优时“一票否决”。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（二）教师课外育人工作考核结果作为教师岗位聘任的基本依据之一，同等条件下，育人工作考核优秀的教师优先聘岗，对聘期内 2 次及以上考核不合格的教师，实行降档聘任。</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五、组织实施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（一）教师课外育人工作考核与教师年度考核同时进行，结果纳入教师年度考核。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w:t>
      </w:r>
      <w:r>
        <w:rPr>
          <w:rFonts w:hint="default" w:ascii="仿宋_GB2312" w:hAnsi="仿宋_GB2312" w:eastAsia="仿宋_GB2312" w:cs="仿宋_GB2312"/>
          <w:color w:val="000000"/>
          <w:sz w:val="32"/>
          <w:szCs w:val="32"/>
          <w:lang w:bidi="ar"/>
        </w:rPr>
        <w:t>药学院</w:t>
      </w:r>
      <w:r>
        <w:rPr>
          <w:rFonts w:hint="eastAsia" w:ascii="仿宋_GB2312" w:hAnsi="仿宋_GB2312" w:eastAsia="仿宋_GB2312" w:cs="仿宋_GB2312"/>
          <w:color w:val="000000"/>
          <w:sz w:val="32"/>
          <w:szCs w:val="32"/>
          <w:lang w:bidi="ar"/>
        </w:rPr>
        <w:t>成立教师课外育人工作考核小组，由</w:t>
      </w:r>
      <w:r>
        <w:rPr>
          <w:rFonts w:hint="default" w:ascii="仿宋_GB2312" w:hAnsi="仿宋_GB2312" w:eastAsia="仿宋_GB2312" w:cs="仿宋_GB2312"/>
          <w:color w:val="000000"/>
          <w:sz w:val="32"/>
          <w:szCs w:val="32"/>
          <w:lang w:bidi="ar"/>
        </w:rPr>
        <w:t>学院党总支</w:t>
      </w:r>
      <w:r>
        <w:rPr>
          <w:rFonts w:hint="eastAsia" w:ascii="仿宋_GB2312" w:hAnsi="仿宋_GB2312" w:eastAsia="仿宋_GB2312" w:cs="仿宋_GB2312"/>
          <w:color w:val="000000"/>
          <w:sz w:val="32"/>
          <w:szCs w:val="32"/>
          <w:lang w:bidi="ar"/>
        </w:rPr>
        <w:t>书记任组长，党政办、学科办、教务科、学工办、</w:t>
      </w:r>
      <w:r>
        <w:rPr>
          <w:rFonts w:ascii="仿宋_GB2312" w:hAnsi="仿宋_GB2312" w:eastAsia="仿宋_GB2312" w:cs="仿宋_GB2312"/>
          <w:color w:val="000000"/>
          <w:sz w:val="32"/>
          <w:szCs w:val="32"/>
          <w:lang w:bidi="ar"/>
        </w:rPr>
        <w:t>团委</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工会</w:t>
      </w:r>
      <w:r>
        <w:rPr>
          <w:rFonts w:hint="eastAsia" w:ascii="仿宋_GB2312" w:hAnsi="仿宋_GB2312" w:eastAsia="仿宋_GB2312" w:cs="仿宋_GB2312"/>
          <w:color w:val="000000"/>
          <w:sz w:val="32"/>
          <w:szCs w:val="32"/>
          <w:lang w:bidi="ar"/>
        </w:rPr>
        <w:t>等部门主要负责人组成，办公室设在学工办，具体负责</w:t>
      </w:r>
      <w:r>
        <w:rPr>
          <w:rFonts w:hint="default" w:ascii="仿宋_GB2312" w:hAnsi="仿宋_GB2312" w:eastAsia="仿宋_GB2312" w:cs="仿宋_GB2312"/>
          <w:color w:val="000000"/>
          <w:sz w:val="32"/>
          <w:szCs w:val="32"/>
          <w:lang w:bidi="ar"/>
        </w:rPr>
        <w:t>学院</w:t>
      </w:r>
      <w:r>
        <w:rPr>
          <w:rFonts w:hint="eastAsia" w:ascii="仿宋_GB2312" w:hAnsi="仿宋_GB2312" w:eastAsia="仿宋_GB2312" w:cs="仿宋_GB2312"/>
          <w:color w:val="000000"/>
          <w:sz w:val="32"/>
          <w:szCs w:val="32"/>
          <w:lang w:bidi="ar"/>
        </w:rPr>
        <w:t xml:space="preserve">教师的育人工作考核。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（三）本办法自发布之日起实施，由学工办负责解释。</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pStyle w:val="4"/>
        <w:widowControl/>
        <w:snapToGrid w:val="0"/>
        <w:spacing w:before="0" w:beforeAutospacing="0" w:after="0" w:afterAutospacing="0" w:line="540" w:lineRule="exact"/>
        <w:rPr>
          <w:rFonts w:ascii="楷体" w:hAnsi="楷体" w:eastAsia="楷体" w:cs="仿宋_GB2312"/>
          <w:color w:val="000000"/>
          <w:sz w:val="32"/>
          <w:szCs w:val="32"/>
          <w:lang w:bidi="ar"/>
        </w:rPr>
      </w:pPr>
      <w:r>
        <w:rPr>
          <w:rFonts w:hint="eastAsia" w:ascii="楷体" w:hAnsi="楷体" w:eastAsia="楷体" w:cs="仿宋_GB2312"/>
          <w:color w:val="000000"/>
          <w:sz w:val="32"/>
          <w:szCs w:val="32"/>
          <w:lang w:bidi="ar"/>
        </w:rPr>
        <w:t>附件：</w:t>
      </w:r>
      <w:r>
        <w:rPr>
          <w:rFonts w:hint="default" w:ascii="楷体" w:hAnsi="楷体" w:eastAsia="楷体" w:cs="仿宋_GB2312"/>
          <w:color w:val="000000"/>
          <w:sz w:val="32"/>
          <w:szCs w:val="32"/>
          <w:lang w:bidi="ar"/>
        </w:rPr>
        <w:t>药学院</w:t>
      </w:r>
      <w:r>
        <w:rPr>
          <w:rFonts w:hint="eastAsia" w:ascii="楷体" w:hAnsi="楷体" w:eastAsia="楷体" w:cs="仿宋_GB2312"/>
          <w:color w:val="000000"/>
          <w:sz w:val="32"/>
          <w:szCs w:val="32"/>
          <w:lang w:bidi="ar"/>
        </w:rPr>
        <w:t>课外育人工作工作量计算及考核要求</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中共杭州师范大学</w:t>
      </w:r>
      <w:r>
        <w:rPr>
          <w:rFonts w:hint="default" w:ascii="仿宋" w:hAnsi="仿宋" w:eastAsia="仿宋"/>
          <w:bCs/>
          <w:kern w:val="0"/>
          <w:sz w:val="32"/>
          <w:szCs w:val="32"/>
        </w:rPr>
        <w:t>药学院总支部</w:t>
      </w:r>
      <w:r>
        <w:rPr>
          <w:rFonts w:hint="eastAsia" w:ascii="仿宋" w:hAnsi="仿宋" w:eastAsia="仿宋"/>
          <w:bCs/>
          <w:kern w:val="0"/>
          <w:sz w:val="32"/>
          <w:szCs w:val="32"/>
        </w:rPr>
        <w:t>委员会</w:t>
      </w:r>
    </w:p>
    <w:p>
      <w:pPr>
        <w:widowControl/>
        <w:wordWrap w:val="0"/>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杭州师范大学</w:t>
      </w:r>
      <w:r>
        <w:rPr>
          <w:rFonts w:hint="default" w:ascii="仿宋" w:hAnsi="仿宋" w:eastAsia="仿宋"/>
          <w:bCs/>
          <w:kern w:val="0"/>
          <w:sz w:val="32"/>
          <w:szCs w:val="32"/>
        </w:rPr>
        <w:t>药学院</w:t>
      </w:r>
      <w:r>
        <w:rPr>
          <w:rFonts w:hint="eastAsia" w:ascii="仿宋" w:hAnsi="仿宋" w:eastAsia="仿宋"/>
          <w:bCs/>
          <w:kern w:val="0"/>
          <w:sz w:val="32"/>
          <w:szCs w:val="32"/>
        </w:rPr>
        <w:t xml:space="preserve">  </w:t>
      </w:r>
    </w:p>
    <w:p>
      <w:pPr>
        <w:widowControl/>
        <w:wordWrap w:val="0"/>
        <w:spacing w:line="540" w:lineRule="exact"/>
        <w:ind w:firstLine="640" w:firstLineChars="200"/>
        <w:jc w:val="right"/>
        <w:rPr>
          <w:rFonts w:ascii="黑体" w:hAnsi="黑体" w:eastAsia="黑体"/>
          <w:kern w:val="0"/>
          <w:sz w:val="32"/>
          <w:szCs w:val="32"/>
        </w:rPr>
      </w:pPr>
      <w:r>
        <w:rPr>
          <w:rFonts w:hint="eastAsia" w:ascii="仿宋" w:hAnsi="仿宋" w:eastAsia="仿宋"/>
          <w:bCs/>
          <w:kern w:val="0"/>
          <w:sz w:val="32"/>
          <w:szCs w:val="32"/>
        </w:rPr>
        <w:t>202</w:t>
      </w:r>
      <w:r>
        <w:rPr>
          <w:rFonts w:hint="default" w:ascii="仿宋" w:hAnsi="仿宋" w:eastAsia="仿宋"/>
          <w:bCs/>
          <w:kern w:val="0"/>
          <w:sz w:val="32"/>
          <w:szCs w:val="32"/>
        </w:rPr>
        <w:t>1</w:t>
      </w:r>
      <w:r>
        <w:rPr>
          <w:rFonts w:hint="eastAsia" w:ascii="仿宋" w:hAnsi="仿宋" w:eastAsia="仿宋"/>
          <w:bCs/>
          <w:kern w:val="0"/>
          <w:sz w:val="32"/>
          <w:szCs w:val="32"/>
        </w:rPr>
        <w:t>年</w:t>
      </w:r>
      <w:r>
        <w:rPr>
          <w:rFonts w:hint="default" w:ascii="仿宋" w:hAnsi="仿宋" w:eastAsia="仿宋"/>
          <w:bCs/>
          <w:kern w:val="0"/>
          <w:sz w:val="32"/>
          <w:szCs w:val="32"/>
        </w:rPr>
        <w:t>09</w:t>
      </w:r>
      <w:r>
        <w:rPr>
          <w:rFonts w:hint="eastAsia" w:ascii="仿宋" w:hAnsi="仿宋" w:eastAsia="仿宋"/>
          <w:bCs/>
          <w:kern w:val="0"/>
          <w:sz w:val="32"/>
          <w:szCs w:val="32"/>
        </w:rPr>
        <w:t>月</w:t>
      </w:r>
      <w:r>
        <w:rPr>
          <w:rFonts w:hint="default" w:ascii="仿宋" w:hAnsi="仿宋" w:eastAsia="仿宋"/>
          <w:bCs/>
          <w:kern w:val="0"/>
          <w:sz w:val="32"/>
          <w:szCs w:val="32"/>
        </w:rPr>
        <w:t>01</w:t>
      </w:r>
      <w:r>
        <w:rPr>
          <w:rFonts w:hint="eastAsia" w:ascii="仿宋" w:hAnsi="仿宋" w:eastAsia="仿宋"/>
          <w:bCs/>
          <w:kern w:val="0"/>
          <w:sz w:val="32"/>
          <w:szCs w:val="32"/>
        </w:rPr>
        <w:t xml:space="preserve">日   </w:t>
      </w:r>
    </w:p>
    <w:p>
      <w:pPr>
        <w:pStyle w:val="35"/>
        <w:spacing w:line="360" w:lineRule="auto"/>
        <w:rPr>
          <w:rFonts w:ascii="黑体" w:eastAsia="黑体" w:cs="黑体"/>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eastAsia="黑体" w:cs="黑体"/>
          <w:color w:val="000000" w:themeColor="text1"/>
          <w14:textFill>
            <w14:solidFill>
              <w14:schemeClr w14:val="tx1"/>
            </w14:solidFill>
          </w14:textFill>
        </w:rPr>
        <w:t xml:space="preserve"> </w:t>
      </w:r>
    </w:p>
    <w:p>
      <w:pPr>
        <w:pStyle w:val="35"/>
        <w:spacing w:line="360" w:lineRule="auto"/>
        <w:rPr>
          <w:rFonts w:ascii="黑体" w:eastAsia="黑体" w:cs="黑体"/>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pPr>
        <w:spacing w:line="360" w:lineRule="auto"/>
        <w:jc w:val="left"/>
        <w:outlineLvl w:val="1"/>
        <w:rPr>
          <w:rFonts w:ascii="仿宋" w:hAnsi="仿宋" w:eastAsia="仿宋"/>
          <w:b/>
          <w:sz w:val="32"/>
          <w:szCs w:val="31"/>
        </w:rPr>
      </w:pPr>
      <w:r>
        <w:rPr>
          <w:rFonts w:hint="eastAsia" w:ascii="仿宋" w:hAnsi="仿宋" w:eastAsia="仿宋"/>
          <w:b/>
          <w:sz w:val="32"/>
          <w:szCs w:val="31"/>
        </w:rPr>
        <w:t>附件：</w:t>
      </w:r>
    </w:p>
    <w:p>
      <w:pPr>
        <w:spacing w:line="360" w:lineRule="auto"/>
        <w:jc w:val="center"/>
        <w:outlineLvl w:val="0"/>
        <w:rPr>
          <w:rFonts w:ascii="黑体" w:hAnsi="黑体" w:eastAsia="黑体"/>
          <w:b/>
          <w:sz w:val="36"/>
          <w:szCs w:val="31"/>
        </w:rPr>
      </w:pPr>
      <w:r>
        <w:rPr>
          <w:rFonts w:hint="default" w:ascii="黑体" w:hAnsi="黑体" w:eastAsia="黑体"/>
          <w:b/>
          <w:sz w:val="36"/>
          <w:szCs w:val="31"/>
        </w:rPr>
        <w:t>药学院</w:t>
      </w:r>
      <w:r>
        <w:rPr>
          <w:rFonts w:hint="eastAsia" w:ascii="黑体" w:hAnsi="黑体" w:eastAsia="黑体"/>
          <w:b/>
          <w:sz w:val="36"/>
          <w:szCs w:val="31"/>
        </w:rPr>
        <w:t>课外育人工作</w:t>
      </w:r>
      <w:r>
        <w:rPr>
          <w:rFonts w:ascii="黑体" w:hAnsi="黑体" w:eastAsia="黑体"/>
          <w:b/>
          <w:sz w:val="36"/>
          <w:szCs w:val="31"/>
        </w:rPr>
        <w:t>工作量</w:t>
      </w:r>
      <w:r>
        <w:rPr>
          <w:rFonts w:hint="eastAsia" w:ascii="黑体" w:hAnsi="黑体" w:eastAsia="黑体"/>
          <w:b/>
          <w:sz w:val="36"/>
          <w:szCs w:val="31"/>
        </w:rPr>
        <w:t>计算及</w:t>
      </w:r>
      <w:r>
        <w:rPr>
          <w:rFonts w:ascii="黑体" w:hAnsi="黑体" w:eastAsia="黑体"/>
          <w:b/>
          <w:sz w:val="36"/>
          <w:szCs w:val="31"/>
        </w:rPr>
        <w:t>考核要求</w:t>
      </w:r>
    </w:p>
    <w:tbl>
      <w:tblPr>
        <w:tblStyle w:val="5"/>
        <w:tblpPr w:leftFromText="180" w:rightFromText="180" w:vertAnchor="text" w:tblpXSpec="center" w:tblpY="1"/>
        <w:tblOverlap w:val="never"/>
        <w:tblW w:w="15120" w:type="dxa"/>
        <w:tblInd w:w="0" w:type="dxa"/>
        <w:tblLayout w:type="fixed"/>
        <w:tblCellMar>
          <w:top w:w="0" w:type="dxa"/>
          <w:left w:w="108" w:type="dxa"/>
          <w:bottom w:w="0" w:type="dxa"/>
          <w:right w:w="108" w:type="dxa"/>
        </w:tblCellMar>
      </w:tblPr>
      <w:tblGrid>
        <w:gridCol w:w="1080"/>
        <w:gridCol w:w="1080"/>
        <w:gridCol w:w="3060"/>
        <w:gridCol w:w="1080"/>
        <w:gridCol w:w="3420"/>
        <w:gridCol w:w="1080"/>
        <w:gridCol w:w="1080"/>
        <w:gridCol w:w="1080"/>
        <w:gridCol w:w="1080"/>
        <w:gridCol w:w="1080"/>
      </w:tblGrid>
      <w:tr>
        <w:tblPrEx>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类别</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选聘要求</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等级</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考核要求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分数</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数据来源和主考部门</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108" w:type="dxa"/>
            <w:bottom w:w="0" w:type="dxa"/>
            <w:right w:w="108" w:type="dxa"/>
          </w:tblCellMar>
        </w:tblPrEx>
        <w:trPr>
          <w:trHeight w:val="17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班主任</w:t>
            </w:r>
          </w:p>
        </w:tc>
        <w:tc>
          <w:tcPr>
            <w:tcW w:w="30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以身作则，为人师表，热爱学生，做青年学生的良师益友。工作勤奋，具有较强的事业心和工作责任感，具备较强的组织协调、管理和语言文字能力，掌握青年工作的基本知识、方法和一般规律。自主报名与学院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班主任招聘通知》为准</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优秀</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班主任管理办法》中对班主任的各项工作要求；学生满意度评价在90分以上，学年班主任考核成绩为“优秀”。</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108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《杭州师范大学</w:t>
            </w:r>
            <w:r>
              <w:rPr>
                <w:rFonts w:hint="default" w:cs="宋体" w:asciiTheme="minorEastAsia" w:hAnsiTheme="minorEastAsia"/>
                <w:kern w:val="0"/>
                <w:sz w:val="22"/>
              </w:rPr>
              <w:t>药学院</w:t>
            </w:r>
            <w:r>
              <w:rPr>
                <w:rFonts w:hint="eastAsia" w:cs="宋体" w:asciiTheme="minorEastAsia" w:hAnsiTheme="minorEastAsia"/>
                <w:kern w:val="0"/>
                <w:sz w:val="22"/>
              </w:rPr>
              <w:t>班主任管理办法》</w:t>
            </w:r>
          </w:p>
        </w:tc>
      </w:tr>
      <w:tr>
        <w:tblPrEx>
          <w:tblCellMar>
            <w:top w:w="0" w:type="dxa"/>
            <w:left w:w="108" w:type="dxa"/>
            <w:bottom w:w="0" w:type="dxa"/>
            <w:right w:w="108" w:type="dxa"/>
          </w:tblCellMar>
        </w:tblPrEx>
        <w:trPr>
          <w:trHeight w:val="163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良好</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能基本完成《杭州师范大学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班主任管理办法》中对班主任的各项工作要求；学生满意度评价在80分以上，每学期班主任考核成绩“良好”及以上。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178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班主任管理办法》中对班主任的大部分工作要求；学生满意度评价在70分以上，学年班主任考核成绩为“合格”及以上且至少有一个学期为“良好”及以上。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4002"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兼职辅导员</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具有坚定正确的政治方向，坚决维护党和国家的利益和学校的稳定。热爱学生工作，事业心和责任感强，品行端正，为人师表。具有较强的工作能力，具备一定组织管理、沟通协调和调查研究的能力。能够处理好本职工作和兼职辅导员工作关系，善于利用业余时间开展学生工作。自主报名与</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兼职辅导员招聘通知》为准</w:t>
            </w:r>
          </w:p>
        </w:tc>
        <w:tc>
          <w:tcPr>
            <w:tcW w:w="1080" w:type="dxa"/>
            <w:tcBorders>
              <w:top w:val="nil"/>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能较好地完成《杭州师范大学兼职辅导员管理办法》中对兼职辅导员的各项工作要求。</w:t>
            </w:r>
          </w:p>
        </w:tc>
        <w:tc>
          <w:tcPr>
            <w:tcW w:w="3240"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《杭州师范大学兼职辅导员管理办法》</w:t>
            </w:r>
          </w:p>
        </w:tc>
      </w:tr>
      <w:tr>
        <w:tblPrEx>
          <w:tblCellMar>
            <w:top w:w="0" w:type="dxa"/>
            <w:left w:w="108" w:type="dxa"/>
            <w:bottom w:w="0" w:type="dxa"/>
            <w:right w:w="108" w:type="dxa"/>
          </w:tblCellMar>
        </w:tblPrEx>
        <w:trPr>
          <w:trHeight w:val="3418"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本科生综合导师</w:t>
            </w:r>
          </w:p>
        </w:tc>
        <w:tc>
          <w:tcPr>
            <w:tcW w:w="306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学生的性格、兴趣、人格特质、生活与家庭状况，引导学生身心健康发展、培养健全人格，及时为经济、学习、心理等方面有困难的学生提供帮助，并主动与班主任、辅导员保持联系，积极协作。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本科生综合导师招聘通知》为准。</w:t>
            </w:r>
            <w:r>
              <w:rPr>
                <w:rFonts w:hint="eastAsia" w:cs="宋体" w:asciiTheme="minorEastAsia" w:hAnsiTheme="minorEastAsia"/>
                <w:kern w:val="0"/>
                <w:sz w:val="22"/>
              </w:rPr>
              <w:t>原则上每位导师指导学生不超过12人。</w:t>
            </w:r>
          </w:p>
        </w:tc>
        <w:tc>
          <w:tcPr>
            <w:tcW w:w="1080" w:type="dxa"/>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每学期至少指导每个学生不少于4次。</w:t>
            </w:r>
          </w:p>
        </w:tc>
        <w:tc>
          <w:tcPr>
            <w:tcW w:w="3240"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4" w:space="0"/>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9"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vAlign w:val="center"/>
          </w:tcPr>
          <w:p>
            <w:pPr>
              <w:jc w:val="center"/>
              <w:rPr>
                <w:rFonts w:cs="宋体" w:asciiTheme="minorEastAsia" w:hAnsiTheme="minorEastAsia"/>
                <w:color w:val="000000"/>
                <w:kern w:val="0"/>
                <w:sz w:val="22"/>
              </w:rPr>
            </w:pPr>
          </w:p>
        </w:tc>
        <w:tc>
          <w:tcPr>
            <w:tcW w:w="306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342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3240" w:type="dxa"/>
            <w:gridSpan w:val="3"/>
            <w:tcBorders>
              <w:top w:val="single" w:color="auto" w:sz="4" w:space="0"/>
              <w:left w:val="nil"/>
              <w:bottom w:val="nil"/>
              <w:right w:val="single" w:color="000000"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nil"/>
            </w:tcBorders>
            <w:shd w:val="clear" w:color="auto" w:fill="auto"/>
            <w:vAlign w:val="center"/>
          </w:tcPr>
          <w:p>
            <w:pPr>
              <w:jc w:val="center"/>
              <w:rPr>
                <w:rFonts w:cs="宋体" w:asciiTheme="minorEastAsia" w:hAnsiTheme="minorEastAsia"/>
                <w:color w:val="000000"/>
                <w:kern w:val="0"/>
                <w:sz w:val="22"/>
              </w:rPr>
            </w:pPr>
          </w:p>
        </w:tc>
        <w:tc>
          <w:tcPr>
            <w:tcW w:w="1080" w:type="dxa"/>
            <w:tcBorders>
              <w:top w:val="single" w:color="auto" w:sz="4" w:space="0"/>
              <w:left w:val="single" w:color="auto" w:sz="8" w:space="0"/>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686"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研究生导师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认真贯彻落实“立德树人” ，坚持把社会主义核心价值体系融入研究生教育全过程。教育研究生坚持正确的政治方向，自觉遵守国家法律和校规校纪，引导研究生树立正确的世界观、人生观与价值观，养成良好的道德品质。研究生导师经个人申请，</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学位评定分委员会初选和学校学位评定委员会评定，具体以当年《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研究生综合导师招聘通知》为准。</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能较好地完成《杭州师范大学研究生指导教师管理办法》及《关于进一步规范</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研究生培养管理的若干实施意见》中各项工作要求。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学科办</w:t>
            </w:r>
          </w:p>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研工办</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268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学生党支部书记</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中共党员，党龄5年以上，对党忠诚，理想信念坚定，模范遵守党的政治纪律。学生党支部书记根据当年支部设立情况及工作需要，由所在教工支部推荐，</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任命，有党支部工作经验者优先。</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恪守师德师风，关爱学生。能及时传达、学习、贯彻上级党组织的决议决定，完成上级党组织安排的各项任务。认真做好组织发展工作，严格按照标准发展党员，程序规范，资料完备。模范践行“两学一做”，按要求执行“三会一课”，认真落实党支部组织生活会制度及党员固定活动日制度。</w:t>
            </w:r>
          </w:p>
        </w:tc>
        <w:tc>
          <w:tcPr>
            <w:tcW w:w="3240" w:type="dxa"/>
            <w:gridSpan w:val="3"/>
            <w:tcBorders>
              <w:top w:val="nil"/>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党政办</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 20分，获校级优秀党支部书记及以上荣誉再加 5 分</w:t>
            </w:r>
          </w:p>
        </w:tc>
      </w:tr>
      <w:tr>
        <w:tblPrEx>
          <w:tblCellMar>
            <w:top w:w="0" w:type="dxa"/>
            <w:left w:w="108" w:type="dxa"/>
            <w:bottom w:w="0" w:type="dxa"/>
            <w:right w:w="108" w:type="dxa"/>
          </w:tblCellMar>
        </w:tblPrEx>
        <w:trPr>
          <w:trHeight w:val="327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学生社团指导教师原则上由有关专业背景或服务需求的单位和教师指导，根据当年社团设立情况及工作需，由社团提出聘请建议，自主报名与团委推荐相结合，择优选聘。</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并遵守有关杭州师范大学学生社团的各项章程、管理办法；了解社团开展的活动及社团内部动态，对涉及学校及组织名誉的活动严格把关，加强监督，承担活动的审批责任；把握社团发展方向，引领社团健康和谐、可持续性地发展；监督社团的财务状况，定期审核帐目；每学期至少参加该社团活动两次，出席与指导社团会员大会的召开和负责人的推选。</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考核合格者，每年度计10分，获学校优秀指导教师或指导的社团获评十佳社团再加 5 分</w:t>
            </w:r>
          </w:p>
        </w:tc>
      </w:tr>
      <w:tr>
        <w:tblPrEx>
          <w:tblCellMar>
            <w:top w:w="0" w:type="dxa"/>
            <w:left w:w="108" w:type="dxa"/>
            <w:bottom w:w="0" w:type="dxa"/>
            <w:right w:w="108" w:type="dxa"/>
          </w:tblCellMar>
        </w:tblPrEx>
        <w:trPr>
          <w:trHeight w:val="250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社会实践指导教师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根据当年校团委社会实践工作要求及</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立项情况选聘，自主报名与团委推荐相结合，择优录取。</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指导教师全权负责社会实践团队的申报立项、开展实践和总结工作；需掌握团队活动的进展情况，加强团队成员的日常教育管理，认真落实各项安全措施。遇意外事件及时采取措施，保证团队的安全和实践活动的顺利进行，确保外出实践师生的人员、财产安全。</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2/天+5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教师带队每天计2分。项目获各级荣誉或获评优秀指导教师的增加 5 分</w:t>
            </w:r>
          </w:p>
        </w:tc>
      </w:tr>
      <w:tr>
        <w:tblPrEx>
          <w:tblCellMar>
            <w:top w:w="0" w:type="dxa"/>
            <w:left w:w="108" w:type="dxa"/>
            <w:bottom w:w="0" w:type="dxa"/>
            <w:right w:w="108" w:type="dxa"/>
          </w:tblCellMar>
        </w:tblPrEx>
        <w:trPr>
          <w:trHeight w:val="420"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创新创业指导教师</w:t>
            </w:r>
          </w:p>
        </w:tc>
        <w:tc>
          <w:tcPr>
            <w:tcW w:w="30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对学生进行与创新训练有关的创新思维、创新方法、创业训练、项目管理和企业管理等指导。指导教师与学生实行双向选择，最终以当年学校立项情况为准。</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vMerge w:val="restart"/>
            <w:tcBorders>
              <w:top w:val="single" w:color="auto" w:sz="8" w:space="0"/>
              <w:left w:val="single" w:color="auto" w:sz="8" w:space="0"/>
              <w:right w:val="single" w:color="auto" w:sz="8" w:space="0"/>
            </w:tcBorders>
            <w:shd w:val="clear" w:color="auto" w:fill="auto"/>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在指导过程中，注重发挥学生的主动性和创造性，引导学生自主完成研究计划，注重培养学生综合素质。要加强对学生科研成果培育过程的监督与指导，对学生科研成果的观点、论据和实验数据等严格把关，强化学术规范要求，严禁学术腐败，保证成果的独创性,保证学生科研成果质量。需加入</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创新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创新创业项目结题</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国家级</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教务科</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项目需按结题要求完成结题</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省级</w:t>
            </w:r>
          </w:p>
        </w:tc>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vMerge w:val="restart"/>
            <w:tcBorders>
              <w:top w:val="nil"/>
              <w:left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校级</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vMerge w:val="continue"/>
            <w:tcBorders>
              <w:left w:val="nil"/>
              <w:bottom w:val="single" w:color="auto" w:sz="4" w:space="0"/>
              <w:right w:val="nil"/>
            </w:tcBorders>
            <w:shd w:val="clear" w:color="auto" w:fill="auto"/>
            <w:vAlign w:val="center"/>
          </w:tcPr>
          <w:p>
            <w:pPr>
              <w:jc w:val="center"/>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国家发明专利</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restart"/>
            <w:tcBorders>
              <w:top w:val="single" w:color="auto" w:sz="4" w:space="0"/>
              <w:left w:val="single" w:color="auto" w:sz="8" w:space="0"/>
              <w:right w:val="nil"/>
            </w:tcBorders>
            <w:shd w:val="clear" w:color="auto" w:fill="auto"/>
            <w:noWrap/>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提供专利证书</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其他专利</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核心期刊论文</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restart"/>
            <w:tcBorders>
              <w:top w:val="nil"/>
              <w:left w:val="single" w:color="auto" w:sz="8" w:space="0"/>
              <w:right w:val="single" w:color="auto" w:sz="8" w:space="0"/>
            </w:tcBorders>
            <w:shd w:val="clear" w:color="auto" w:fill="auto"/>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参考学校期刊目录</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bottom w:val="single" w:color="auto" w:sz="4" w:space="0"/>
              <w:right w:val="single" w:color="auto" w:sz="8" w:space="0"/>
            </w:tcBorders>
            <w:vAlign w:val="center"/>
          </w:tcPr>
          <w:p>
            <w:pPr>
              <w:jc w:val="left"/>
              <w:rPr>
                <w:rFonts w:cs="宋体" w:asciiTheme="minorEastAsia" w:hAnsiTheme="minorEastAsia"/>
                <w:color w:val="000000"/>
                <w:kern w:val="0"/>
                <w:sz w:val="22"/>
              </w:rPr>
            </w:pPr>
          </w:p>
        </w:tc>
        <w:tc>
          <w:tcPr>
            <w:tcW w:w="2160"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普通期刊论文</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bottom w:val="single" w:color="auto" w:sz="4" w:space="0"/>
              <w:right w:val="nil"/>
            </w:tcBorders>
            <w:vAlign w:val="center"/>
          </w:tcPr>
          <w:p>
            <w:pPr>
              <w:jc w:val="center"/>
              <w:rPr>
                <w:rFonts w:cs="宋体" w:asciiTheme="minorEastAsia" w:hAnsiTheme="minorEastAsia"/>
                <w:color w:val="000000"/>
                <w:kern w:val="0"/>
                <w:sz w:val="22"/>
              </w:rPr>
            </w:pPr>
          </w:p>
        </w:tc>
        <w:tc>
          <w:tcPr>
            <w:tcW w:w="1080" w:type="dxa"/>
            <w:vMerge w:val="continue"/>
            <w:tcBorders>
              <w:left w:val="single" w:color="auto" w:sz="8" w:space="0"/>
              <w:bottom w:val="single" w:color="auto" w:sz="4" w:space="0"/>
              <w:right w:val="single" w:color="auto" w:sz="8" w:space="0"/>
            </w:tcBorders>
            <w:vAlign w:val="center"/>
          </w:tcPr>
          <w:p>
            <w:pPr>
              <w:jc w:val="center"/>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tcBorders>
              <w:top w:val="single" w:color="auto" w:sz="4" w:space="0"/>
              <w:left w:val="single" w:color="auto" w:sz="8" w:space="0"/>
              <w:bottom w:val="single" w:color="000000" w:sz="8" w:space="0"/>
              <w:right w:val="single" w:color="auto" w:sz="8" w:space="0"/>
            </w:tcBorders>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创业指导教师人才库，每年按要求做好登记。</w:t>
            </w:r>
          </w:p>
        </w:tc>
        <w:tc>
          <w:tcPr>
            <w:tcW w:w="2160" w:type="dxa"/>
            <w:gridSpan w:val="2"/>
            <w:tcBorders>
              <w:top w:val="single" w:color="auto" w:sz="4"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注册企业</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single" w:color="auto" w:sz="8" w:space="0"/>
              <w:bottom w:val="single" w:color="000000" w:sz="8" w:space="0"/>
              <w:right w:val="nil"/>
            </w:tcBorders>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提供营业执照</w:t>
            </w:r>
          </w:p>
        </w:tc>
      </w:tr>
      <w:tr>
        <w:tblPrEx>
          <w:tblCellMar>
            <w:top w:w="0" w:type="dxa"/>
            <w:left w:w="108" w:type="dxa"/>
            <w:bottom w:w="0" w:type="dxa"/>
            <w:right w:w="108" w:type="dxa"/>
          </w:tblCellMar>
        </w:tblPrEx>
        <w:trPr>
          <w:trHeight w:val="2265"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学生竞赛指导教师</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能为学生竞赛活动提供及时、全程、专业的培训和指导。由教务科、学工办等相关部门根据当年竞赛工作实际需要组织并选聘，自主报名与学院推荐相结合，择优录取。</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备竞赛相关的专业背景和技能，能为学生竞赛活动提供及时、全程、专业的培训和指导。加强竞赛期间对学生的教育和管理，认真落实各项安全措施，保证竞赛的顺利进行。竞赛包括学校组织的学科竞赛、体育竞赛、艺术展演等</w:t>
            </w:r>
          </w:p>
        </w:tc>
        <w:tc>
          <w:tcPr>
            <w:tcW w:w="324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10/项+5</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获省级以上奖项的每个项目增加5分。</w:t>
            </w:r>
          </w:p>
        </w:tc>
      </w:tr>
      <w:tr>
        <w:tblPrEx>
          <w:tblCellMar>
            <w:top w:w="0" w:type="dxa"/>
            <w:left w:w="108" w:type="dxa"/>
            <w:bottom w:w="0" w:type="dxa"/>
            <w:right w:w="108" w:type="dxa"/>
          </w:tblCellMar>
        </w:tblPrEx>
        <w:trPr>
          <w:trHeight w:val="2265"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课外育人课堂主讲教师</w:t>
            </w:r>
          </w:p>
        </w:tc>
        <w:tc>
          <w:tcPr>
            <w:tcW w:w="306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根据当年活动需要组织开展，以自主报名与部门推荐相结合，择优选聘。</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理想信念坚定，恪守师德师风，能及时学习、宣传、贯彻党和国家最新的理论、方针、政策等。担任党校、团校等培训或思政教育专题报告、沙龙活动等主讲教师</w:t>
            </w:r>
          </w:p>
        </w:tc>
        <w:tc>
          <w:tcPr>
            <w:tcW w:w="3240" w:type="dxa"/>
            <w:gridSpan w:val="3"/>
            <w:tcBorders>
              <w:top w:val="single" w:color="auto" w:sz="4" w:space="0"/>
              <w:left w:val="nil"/>
              <w:bottom w:val="nil"/>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3/半天（3课时）</w:t>
            </w:r>
          </w:p>
        </w:tc>
        <w:tc>
          <w:tcPr>
            <w:tcW w:w="1080" w:type="dxa"/>
            <w:tcBorders>
              <w:top w:val="single" w:color="auto" w:sz="4" w:space="0"/>
              <w:left w:val="nil"/>
              <w:bottom w:val="nil"/>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tc>
        <w:tc>
          <w:tcPr>
            <w:tcW w:w="1080" w:type="dxa"/>
            <w:tcBorders>
              <w:top w:val="single" w:color="auto" w:sz="4" w:space="0"/>
              <w:left w:val="single" w:color="auto" w:sz="8" w:space="0"/>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tblPrEx>
          <w:tblCellMar>
            <w:top w:w="0" w:type="dxa"/>
            <w:left w:w="108" w:type="dxa"/>
            <w:bottom w:w="0" w:type="dxa"/>
            <w:right w:w="108" w:type="dxa"/>
          </w:tblCellMar>
        </w:tblPrEx>
        <w:trPr>
          <w:trHeight w:val="1537"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课外活动指导老师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根据当年活动需要组织开展，担任学生非教学活动评审或辅导工作，以自主报名与部门推荐相结合，择优选聘。</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需具备活动相关的专业背景。指导或评审学生开展各类校园文化活动和素质提升项目等活动</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2/半天</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bl>
    <w:p>
      <w:pPr>
        <w:spacing w:line="400" w:lineRule="exact"/>
        <w:rPr>
          <w:b/>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DA5OTlkYzZlMzZlMGNlMjVmZTJlYWU2ODViNDEifQ=="/>
  </w:docVars>
  <w:rsids>
    <w:rsidRoot w:val="525A6F0D"/>
    <w:rsid w:val="00097D63"/>
    <w:rsid w:val="000C0D3B"/>
    <w:rsid w:val="000D3F03"/>
    <w:rsid w:val="000D7968"/>
    <w:rsid w:val="00174987"/>
    <w:rsid w:val="001E64FB"/>
    <w:rsid w:val="001F715E"/>
    <w:rsid w:val="0021055F"/>
    <w:rsid w:val="00231097"/>
    <w:rsid w:val="00267F5A"/>
    <w:rsid w:val="00280EAC"/>
    <w:rsid w:val="003B7351"/>
    <w:rsid w:val="003E0C9A"/>
    <w:rsid w:val="0049108C"/>
    <w:rsid w:val="00537F3B"/>
    <w:rsid w:val="006C3CED"/>
    <w:rsid w:val="00793365"/>
    <w:rsid w:val="008740DD"/>
    <w:rsid w:val="008C23A0"/>
    <w:rsid w:val="008C2B4F"/>
    <w:rsid w:val="00952924"/>
    <w:rsid w:val="00A74B4E"/>
    <w:rsid w:val="00BF08C6"/>
    <w:rsid w:val="00C17263"/>
    <w:rsid w:val="00C57559"/>
    <w:rsid w:val="00D06CCC"/>
    <w:rsid w:val="00DF0CEF"/>
    <w:rsid w:val="00EA694B"/>
    <w:rsid w:val="00ED71E9"/>
    <w:rsid w:val="00F07E4E"/>
    <w:rsid w:val="00F37BFA"/>
    <w:rsid w:val="00F53975"/>
    <w:rsid w:val="00F8678E"/>
    <w:rsid w:val="01F33FB7"/>
    <w:rsid w:val="0203213B"/>
    <w:rsid w:val="04D12120"/>
    <w:rsid w:val="057151D2"/>
    <w:rsid w:val="06C05EE6"/>
    <w:rsid w:val="07353327"/>
    <w:rsid w:val="0A6D551E"/>
    <w:rsid w:val="0B125267"/>
    <w:rsid w:val="0B270BAF"/>
    <w:rsid w:val="0C3C07E4"/>
    <w:rsid w:val="0F427CB6"/>
    <w:rsid w:val="0F5A7383"/>
    <w:rsid w:val="129138F2"/>
    <w:rsid w:val="19606CC3"/>
    <w:rsid w:val="19A64CA2"/>
    <w:rsid w:val="1ADC7C73"/>
    <w:rsid w:val="1B114B41"/>
    <w:rsid w:val="1C2F2B84"/>
    <w:rsid w:val="1D0D257B"/>
    <w:rsid w:val="1EA76175"/>
    <w:rsid w:val="208D53AF"/>
    <w:rsid w:val="220B6F20"/>
    <w:rsid w:val="221E245A"/>
    <w:rsid w:val="22AD4B06"/>
    <w:rsid w:val="23CE3A47"/>
    <w:rsid w:val="24C524C0"/>
    <w:rsid w:val="26CB585A"/>
    <w:rsid w:val="27521B02"/>
    <w:rsid w:val="29576481"/>
    <w:rsid w:val="300A62A1"/>
    <w:rsid w:val="30696610"/>
    <w:rsid w:val="31175DC2"/>
    <w:rsid w:val="316C69DB"/>
    <w:rsid w:val="34C2296D"/>
    <w:rsid w:val="353F08D9"/>
    <w:rsid w:val="36184B04"/>
    <w:rsid w:val="36900367"/>
    <w:rsid w:val="36904DDD"/>
    <w:rsid w:val="3AF758A7"/>
    <w:rsid w:val="3EF46C6C"/>
    <w:rsid w:val="417C32A4"/>
    <w:rsid w:val="422972F3"/>
    <w:rsid w:val="44835E80"/>
    <w:rsid w:val="49CE33D2"/>
    <w:rsid w:val="4C8011A8"/>
    <w:rsid w:val="4D6607DB"/>
    <w:rsid w:val="525A6F0D"/>
    <w:rsid w:val="53463C54"/>
    <w:rsid w:val="54F241F3"/>
    <w:rsid w:val="584734DA"/>
    <w:rsid w:val="5DDF3B89"/>
    <w:rsid w:val="5E530304"/>
    <w:rsid w:val="5F825C78"/>
    <w:rsid w:val="5FA77DD4"/>
    <w:rsid w:val="672D7BB8"/>
    <w:rsid w:val="67BC17AC"/>
    <w:rsid w:val="68A574EA"/>
    <w:rsid w:val="6A616580"/>
    <w:rsid w:val="6A8E3129"/>
    <w:rsid w:val="6C380C84"/>
    <w:rsid w:val="6C7E25E3"/>
    <w:rsid w:val="6F675249"/>
    <w:rsid w:val="70751081"/>
    <w:rsid w:val="735A07AD"/>
    <w:rsid w:val="735D7E7F"/>
    <w:rsid w:val="75350941"/>
    <w:rsid w:val="775616FB"/>
    <w:rsid w:val="786318C1"/>
    <w:rsid w:val="789E25E2"/>
    <w:rsid w:val="7C754F41"/>
    <w:rsid w:val="7CBC6D06"/>
    <w:rsid w:val="7DA1351B"/>
    <w:rsid w:val="7E1A41E3"/>
    <w:rsid w:val="7FEB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TML Typewriter"/>
    <w:basedOn w:val="7"/>
    <w:qFormat/>
    <w:uiPriority w:val="0"/>
    <w:rPr>
      <w:rFonts w:hint="default" w:ascii="Consolas" w:hAnsi="Consolas" w:eastAsia="Consolas" w:cs="Consolas"/>
      <w:sz w:val="21"/>
      <w:szCs w:val="21"/>
    </w:rPr>
  </w:style>
  <w:style w:type="character" w:styleId="13">
    <w:name w:val="HTML Acronym"/>
    <w:basedOn w:val="7"/>
    <w:qFormat/>
    <w:uiPriority w:val="0"/>
  </w:style>
  <w:style w:type="character" w:styleId="14">
    <w:name w:val="HTML Variable"/>
    <w:basedOn w:val="7"/>
    <w:qFormat/>
    <w:uiPriority w:val="0"/>
    <w:rPr>
      <w:rFonts w:ascii="Consolas" w:hAnsi="Consolas" w:eastAsia="Consolas" w:cs="Consolas"/>
      <w:i/>
      <w:sz w:val="21"/>
      <w:szCs w:val="21"/>
    </w:rPr>
  </w:style>
  <w:style w:type="character" w:styleId="15">
    <w:name w:val="Hyperlink"/>
    <w:basedOn w:val="7"/>
    <w:qFormat/>
    <w:uiPriority w:val="0"/>
    <w:rPr>
      <w:color w:val="0088CC"/>
      <w:u w:val="none"/>
    </w:rPr>
  </w:style>
  <w:style w:type="character" w:styleId="16">
    <w:name w:val="HTML Code"/>
    <w:basedOn w:val="7"/>
    <w:qFormat/>
    <w:uiPriority w:val="0"/>
    <w:rPr>
      <w:rFonts w:hint="default" w:ascii="Consolas" w:hAnsi="Consolas" w:eastAsia="Consolas" w:cs="Consolas"/>
      <w:sz w:val="21"/>
      <w:szCs w:val="21"/>
    </w:rPr>
  </w:style>
  <w:style w:type="character" w:styleId="17">
    <w:name w:val="HTML Cite"/>
    <w:basedOn w:val="7"/>
    <w:qFormat/>
    <w:uiPriority w:val="0"/>
    <w:rPr>
      <w:i/>
    </w:rPr>
  </w:style>
  <w:style w:type="character" w:styleId="18">
    <w:name w:val="HTML Keyboard"/>
    <w:basedOn w:val="7"/>
    <w:qFormat/>
    <w:uiPriority w:val="0"/>
    <w:rPr>
      <w:rFonts w:hint="default" w:ascii="Consolas" w:hAnsi="Consolas" w:eastAsia="Consolas" w:cs="Consolas"/>
      <w:sz w:val="21"/>
      <w:szCs w:val="21"/>
    </w:rPr>
  </w:style>
  <w:style w:type="character" w:customStyle="1" w:styleId="19">
    <w:name w:val="disabled"/>
    <w:basedOn w:val="7"/>
    <w:qFormat/>
    <w:uiPriority w:val="0"/>
    <w:rPr>
      <w:color w:val="ADAAAD"/>
    </w:rPr>
  </w:style>
  <w:style w:type="character" w:customStyle="1" w:styleId="20">
    <w:name w:val="hover43"/>
    <w:basedOn w:val="7"/>
    <w:qFormat/>
    <w:uiPriority w:val="0"/>
    <w:rPr>
      <w:color w:val="FFFFFF"/>
      <w:shd w:val="clear" w:color="auto" w:fill="444444"/>
    </w:rPr>
  </w:style>
  <w:style w:type="character" w:customStyle="1" w:styleId="21">
    <w:name w:val="hover44"/>
    <w:basedOn w:val="7"/>
    <w:qFormat/>
    <w:uiPriority w:val="0"/>
    <w:rPr>
      <w:shd w:val="clear" w:color="auto" w:fill="000000"/>
    </w:rPr>
  </w:style>
  <w:style w:type="character" w:customStyle="1" w:styleId="22">
    <w:name w:val="pages"/>
    <w:basedOn w:val="7"/>
    <w:qFormat/>
    <w:uiPriority w:val="0"/>
    <w:rPr>
      <w:color w:val="555555"/>
    </w:rPr>
  </w:style>
  <w:style w:type="character" w:customStyle="1" w:styleId="23">
    <w:name w:val="pages1"/>
    <w:basedOn w:val="7"/>
    <w:qFormat/>
    <w:uiPriority w:val="0"/>
    <w:rPr>
      <w:color w:val="555555"/>
    </w:rPr>
  </w:style>
  <w:style w:type="character" w:customStyle="1" w:styleId="24">
    <w:name w:val="pages2"/>
    <w:basedOn w:val="7"/>
    <w:qFormat/>
    <w:uiPriority w:val="0"/>
    <w:rPr>
      <w:color w:val="666666"/>
      <w:sz w:val="18"/>
      <w:szCs w:val="18"/>
      <w:u w:val="none"/>
      <w:bdr w:val="single" w:color="DEDFDE" w:sz="6" w:space="0"/>
    </w:rPr>
  </w:style>
  <w:style w:type="character" w:customStyle="1" w:styleId="25">
    <w:name w:val="current"/>
    <w:basedOn w:val="7"/>
    <w:qFormat/>
    <w:uiPriority w:val="0"/>
    <w:rPr>
      <w:color w:val="FFFFFF"/>
      <w:shd w:val="clear" w:color="auto" w:fill="444444"/>
    </w:rPr>
  </w:style>
  <w:style w:type="character" w:customStyle="1" w:styleId="26">
    <w:name w:val="current1"/>
    <w:basedOn w:val="7"/>
    <w:qFormat/>
    <w:uiPriority w:val="0"/>
    <w:rPr>
      <w:b/>
      <w:color w:val="01BCA5"/>
      <w:sz w:val="18"/>
      <w:szCs w:val="18"/>
      <w:bdr w:val="single" w:color="DEDFDE" w:sz="6" w:space="0"/>
    </w:rPr>
  </w:style>
  <w:style w:type="character" w:customStyle="1" w:styleId="27">
    <w:name w:val="dots"/>
    <w:basedOn w:val="7"/>
    <w:qFormat/>
    <w:uiPriority w:val="0"/>
    <w:rPr>
      <w:color w:val="666666"/>
      <w:sz w:val="18"/>
      <w:szCs w:val="18"/>
      <w:u w:val="none"/>
      <w:bdr w:val="single" w:color="DEDFDE" w:sz="6" w:space="0"/>
    </w:rPr>
  </w:style>
  <w:style w:type="character" w:customStyle="1" w:styleId="28">
    <w:name w:val="hover42"/>
    <w:basedOn w:val="7"/>
    <w:qFormat/>
    <w:uiPriority w:val="0"/>
    <w:rPr>
      <w:shd w:val="clear" w:color="auto" w:fill="000000"/>
    </w:rPr>
  </w:style>
  <w:style w:type="character" w:customStyle="1" w:styleId="29">
    <w:name w:val="font41"/>
    <w:basedOn w:val="7"/>
    <w:qFormat/>
    <w:uiPriority w:val="0"/>
    <w:rPr>
      <w:rFonts w:ascii="宋体" w:hAnsi="宋体" w:eastAsia="宋体" w:cs="宋体"/>
      <w:b/>
      <w:color w:val="000000"/>
      <w:sz w:val="22"/>
      <w:szCs w:val="22"/>
      <w:u w:val="none"/>
    </w:rPr>
  </w:style>
  <w:style w:type="character" w:customStyle="1" w:styleId="30">
    <w:name w:val="font71"/>
    <w:basedOn w:val="7"/>
    <w:qFormat/>
    <w:uiPriority w:val="0"/>
    <w:rPr>
      <w:rFonts w:ascii="宋体" w:hAnsi="宋体" w:eastAsia="宋体" w:cs="宋体"/>
      <w:b/>
      <w:color w:val="000000"/>
      <w:sz w:val="22"/>
      <w:szCs w:val="22"/>
      <w:u w:val="none"/>
    </w:rPr>
  </w:style>
  <w:style w:type="character" w:customStyle="1" w:styleId="31">
    <w:name w:val="font01"/>
    <w:basedOn w:val="7"/>
    <w:qFormat/>
    <w:uiPriority w:val="0"/>
    <w:rPr>
      <w:rFonts w:ascii="Calibri" w:hAnsi="Calibri" w:cs="Calibri"/>
      <w:color w:val="000000"/>
      <w:sz w:val="22"/>
      <w:szCs w:val="22"/>
      <w:u w:val="none"/>
    </w:rPr>
  </w:style>
  <w:style w:type="paragraph" w:customStyle="1" w:styleId="32">
    <w:name w:val="List Paragraph"/>
    <w:basedOn w:val="1"/>
    <w:unhideWhenUsed/>
    <w:qFormat/>
    <w:uiPriority w:val="99"/>
    <w:pPr>
      <w:ind w:firstLine="420" w:firstLineChars="200"/>
    </w:pPr>
  </w:style>
  <w:style w:type="character" w:customStyle="1" w:styleId="33">
    <w:name w:val="页眉 Char"/>
    <w:basedOn w:val="7"/>
    <w:link w:val="3"/>
    <w:qFormat/>
    <w:uiPriority w:val="0"/>
    <w:rPr>
      <w:rFonts w:ascii="Calibri" w:hAnsi="Calibri"/>
      <w:kern w:val="2"/>
      <w:sz w:val="18"/>
      <w:szCs w:val="18"/>
    </w:rPr>
  </w:style>
  <w:style w:type="character" w:customStyle="1" w:styleId="34">
    <w:name w:val="页脚 Char"/>
    <w:basedOn w:val="7"/>
    <w:link w:val="2"/>
    <w:qFormat/>
    <w:uiPriority w:val="99"/>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杭州师范大学</Company>
  <Pages>9</Pages>
  <Words>3674</Words>
  <Characters>3711</Characters>
  <Lines>28</Lines>
  <Paragraphs>7</Paragraphs>
  <TotalTime>139</TotalTime>
  <ScaleCrop>false</ScaleCrop>
  <LinksUpToDate>false</LinksUpToDate>
  <CharactersWithSpaces>3743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2019-10-13T09:46:00Z</dcterms:created>
  <dc:creator>Administrator</dc:creator>
  <cp:lastModifiedBy>吕倩蕾</cp:lastModifiedBy>
  <cp:lastPrinted>2021-09-27T02:57:00Z</cp:lastPrinted>
  <dcterms:modified xsi:type="dcterms:W3CDTF">2024-01-16T14:57:43Z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6B00C31B8C254121826B585B6D5EB895</vt:lpwstr>
  </property>
</Properties>
</file>